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8D" w:rsidRDefault="009F308D" w:rsidP="00525AA9">
      <w:pPr>
        <w:pStyle w:val="Heading2"/>
        <w:rPr>
          <w:rFonts w:asciiTheme="minorHAnsi" w:hAnsiTheme="minorHAnsi"/>
          <w:bCs w:val="0"/>
          <w:i w:val="0"/>
          <w:iCs w:val="0"/>
          <w:sz w:val="24"/>
          <w:szCs w:val="20"/>
        </w:rPr>
      </w:pPr>
      <w:bookmarkStart w:id="0" w:name="_GoBack"/>
      <w:bookmarkEnd w:id="0"/>
    </w:p>
    <w:p w:rsidR="009F308D" w:rsidRDefault="009F308D" w:rsidP="00525AA9">
      <w:pPr>
        <w:pStyle w:val="Heading2"/>
        <w:rPr>
          <w:rFonts w:asciiTheme="minorHAnsi" w:hAnsiTheme="minorHAnsi"/>
          <w:bCs w:val="0"/>
          <w:i w:val="0"/>
          <w:iCs w:val="0"/>
          <w:sz w:val="24"/>
          <w:szCs w:val="20"/>
        </w:rPr>
      </w:pPr>
    </w:p>
    <w:p w:rsidR="009F308D" w:rsidRDefault="009F308D" w:rsidP="00525AA9">
      <w:pPr>
        <w:pStyle w:val="Heading2"/>
        <w:rPr>
          <w:rFonts w:asciiTheme="minorHAnsi" w:hAnsiTheme="minorHAnsi"/>
          <w:bCs w:val="0"/>
          <w:i w:val="0"/>
          <w:iCs w:val="0"/>
          <w:sz w:val="24"/>
          <w:szCs w:val="20"/>
        </w:rPr>
      </w:pPr>
    </w:p>
    <w:p w:rsidR="009F308D" w:rsidRDefault="009F308D" w:rsidP="00525AA9">
      <w:pPr>
        <w:pStyle w:val="Heading2"/>
        <w:rPr>
          <w:rFonts w:asciiTheme="minorHAnsi" w:hAnsiTheme="minorHAnsi"/>
          <w:bCs w:val="0"/>
          <w:i w:val="0"/>
          <w:iCs w:val="0"/>
          <w:sz w:val="24"/>
          <w:szCs w:val="20"/>
        </w:rPr>
      </w:pPr>
    </w:p>
    <w:p w:rsidR="00F810ED" w:rsidRDefault="001129A5" w:rsidP="00F810ED">
      <w:pPr>
        <w:pStyle w:val="Heading2"/>
        <w:jc w:val="center"/>
        <w:rPr>
          <w:rFonts w:asciiTheme="minorHAnsi" w:hAnsiTheme="minorHAnsi"/>
          <w:bCs w:val="0"/>
          <w:i w:val="0"/>
          <w:iCs w:val="0"/>
          <w:sz w:val="24"/>
          <w:szCs w:val="20"/>
        </w:rPr>
      </w:pPr>
      <w:r>
        <w:rPr>
          <w:rFonts w:asciiTheme="minorHAnsi" w:hAnsiTheme="minorHAnsi"/>
          <w:bCs w:val="0"/>
          <w:i w:val="0"/>
          <w:iCs w:val="0"/>
          <w:sz w:val="24"/>
          <w:szCs w:val="20"/>
        </w:rPr>
        <w:t xml:space="preserve">San Francisco Bay </w:t>
      </w:r>
      <w:r w:rsidR="00F810ED" w:rsidRPr="00795837">
        <w:rPr>
          <w:rFonts w:asciiTheme="minorHAnsi" w:hAnsiTheme="minorHAnsi"/>
          <w:bCs w:val="0"/>
          <w:i w:val="0"/>
          <w:iCs w:val="0"/>
          <w:sz w:val="24"/>
          <w:szCs w:val="20"/>
        </w:rPr>
        <w:t xml:space="preserve">Nutrient </w:t>
      </w:r>
      <w:r>
        <w:rPr>
          <w:rFonts w:asciiTheme="minorHAnsi" w:hAnsiTheme="minorHAnsi"/>
          <w:bCs w:val="0"/>
          <w:i w:val="0"/>
          <w:iCs w:val="0"/>
          <w:sz w:val="24"/>
          <w:szCs w:val="20"/>
        </w:rPr>
        <w:t>Strategy Support:</w:t>
      </w:r>
      <w:r w:rsidR="00F810ED" w:rsidRPr="00795837">
        <w:rPr>
          <w:rFonts w:asciiTheme="minorHAnsi" w:hAnsiTheme="minorHAnsi"/>
          <w:bCs w:val="0"/>
          <w:i w:val="0"/>
          <w:iCs w:val="0"/>
          <w:sz w:val="24"/>
          <w:szCs w:val="20"/>
        </w:rPr>
        <w:t xml:space="preserve"> </w:t>
      </w:r>
      <w:r>
        <w:rPr>
          <w:rFonts w:asciiTheme="minorHAnsi" w:hAnsiTheme="minorHAnsi"/>
          <w:bCs w:val="0"/>
          <w:i w:val="0"/>
          <w:iCs w:val="0"/>
          <w:sz w:val="24"/>
          <w:szCs w:val="20"/>
        </w:rPr>
        <w:t>Detailed Scope of Work</w:t>
      </w:r>
    </w:p>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006962" w:rsidRDefault="00006962" w:rsidP="009F308D"/>
    <w:p w:rsidR="00006962" w:rsidDel="00006962" w:rsidRDefault="00006962" w:rsidP="009F308D"/>
    <w:p w:rsidR="009F308D" w:rsidRDefault="009F308D" w:rsidP="009F308D"/>
    <w:p w:rsidR="009F308D" w:rsidRDefault="00171EAC" w:rsidP="009F308D">
      <w:r>
        <w:t>DRAFT</w:t>
      </w:r>
    </w:p>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F308D" w:rsidRDefault="009F308D" w:rsidP="009F308D"/>
    <w:p w:rsidR="009D01BF" w:rsidRDefault="009D01BF" w:rsidP="009F308D"/>
    <w:p w:rsidR="009F308D" w:rsidRDefault="009F308D" w:rsidP="009F308D"/>
    <w:p w:rsidR="009F308D" w:rsidRDefault="009F308D" w:rsidP="009F308D"/>
    <w:p w:rsidR="009D01BF" w:rsidRDefault="009D01BF" w:rsidP="00E627A3">
      <w:pPr>
        <w:ind w:left="5040" w:firstLine="180"/>
      </w:pPr>
      <w:r>
        <w:t>David Senn</w:t>
      </w:r>
      <w:r w:rsidR="00E627A3">
        <w:t>, PhD.</w:t>
      </w:r>
    </w:p>
    <w:p w:rsidR="009D01BF" w:rsidRDefault="009D01BF" w:rsidP="00E627A3">
      <w:pPr>
        <w:ind w:left="5040" w:firstLine="180"/>
      </w:pPr>
      <w:r w:rsidRPr="009F308D">
        <w:rPr>
          <w:b/>
        </w:rPr>
        <w:t>Aquatic Science Center</w:t>
      </w:r>
      <w:r>
        <w:t xml:space="preserve"> and </w:t>
      </w:r>
    </w:p>
    <w:p w:rsidR="009D01BF" w:rsidRDefault="009D01BF" w:rsidP="00E627A3">
      <w:pPr>
        <w:ind w:firstLine="720"/>
        <w:jc w:val="right"/>
        <w:rPr>
          <w:b/>
        </w:rPr>
      </w:pPr>
      <w:r w:rsidRPr="009F308D">
        <w:rPr>
          <w:b/>
        </w:rPr>
        <w:t>San Francisco Estuary Institute</w:t>
      </w:r>
    </w:p>
    <w:p w:rsidR="009F308D" w:rsidRDefault="00E627A3" w:rsidP="00E627A3">
      <w:pPr>
        <w:tabs>
          <w:tab w:val="left" w:pos="5220"/>
        </w:tabs>
        <w:jc w:val="both"/>
      </w:pPr>
      <w:r>
        <w:tab/>
      </w:r>
      <w:r>
        <w:tab/>
      </w:r>
      <w:r>
        <w:tab/>
      </w:r>
      <w:r>
        <w:tab/>
      </w:r>
      <w:r>
        <w:tab/>
        <w:t xml:space="preserve">       </w:t>
      </w:r>
      <w:r>
        <w:tab/>
      </w:r>
      <w:r w:rsidR="00F2489A">
        <w:t xml:space="preserve">January </w:t>
      </w:r>
      <w:r w:rsidR="00171EAC">
        <w:t>3</w:t>
      </w:r>
      <w:r w:rsidR="00EA2028">
        <w:t>1</w:t>
      </w:r>
      <w:r w:rsidR="00F2489A">
        <w:t>, 2012</w:t>
      </w:r>
    </w:p>
    <w:p w:rsidR="00E67BB6" w:rsidRPr="00034ECA" w:rsidRDefault="009F308D">
      <w:pPr>
        <w:pStyle w:val="Heading2"/>
        <w:tabs>
          <w:tab w:val="left" w:pos="4950"/>
        </w:tabs>
        <w:spacing w:before="0" w:after="120"/>
        <w:jc w:val="center"/>
        <w:rPr>
          <w:rFonts w:asciiTheme="minorHAnsi" w:hAnsiTheme="minorHAnsi"/>
          <w:bCs w:val="0"/>
          <w:i w:val="0"/>
          <w:iCs w:val="0"/>
          <w:sz w:val="24"/>
          <w:szCs w:val="20"/>
        </w:rPr>
      </w:pPr>
      <w:r>
        <w:rPr>
          <w:rFonts w:asciiTheme="minorHAnsi" w:hAnsiTheme="minorHAnsi"/>
          <w:b w:val="0"/>
          <w:bCs w:val="0"/>
          <w:i w:val="0"/>
          <w:iCs w:val="0"/>
          <w:sz w:val="24"/>
          <w:szCs w:val="20"/>
        </w:rPr>
        <w:br w:type="page"/>
      </w:r>
      <w:r w:rsidR="00A00A4B" w:rsidRPr="00034ECA">
        <w:rPr>
          <w:rFonts w:asciiTheme="minorHAnsi" w:hAnsiTheme="minorHAnsi"/>
          <w:bCs w:val="0"/>
          <w:i w:val="0"/>
          <w:iCs w:val="0"/>
          <w:sz w:val="24"/>
          <w:szCs w:val="20"/>
        </w:rPr>
        <w:lastRenderedPageBreak/>
        <w:t>Exhibit A</w:t>
      </w:r>
    </w:p>
    <w:p w:rsidR="00E67BB6" w:rsidRPr="00034ECA" w:rsidRDefault="00A00A4B">
      <w:pPr>
        <w:jc w:val="center"/>
        <w:rPr>
          <w:b/>
        </w:rPr>
      </w:pPr>
      <w:r w:rsidRPr="00034ECA">
        <w:rPr>
          <w:b/>
        </w:rPr>
        <w:t>Proposed Scope of Work</w:t>
      </w:r>
    </w:p>
    <w:p w:rsidR="00E67BB6" w:rsidRDefault="00E67BB6"/>
    <w:p w:rsidR="00841C65" w:rsidRDefault="00850F02" w:rsidP="00E627A3">
      <w:pPr>
        <w:pStyle w:val="Heading2"/>
        <w:spacing w:before="0" w:after="120"/>
        <w:rPr>
          <w:rFonts w:asciiTheme="minorHAnsi" w:hAnsiTheme="minorHAnsi"/>
          <w:b w:val="0"/>
          <w:bCs w:val="0"/>
          <w:i w:val="0"/>
          <w:iCs w:val="0"/>
          <w:sz w:val="24"/>
          <w:szCs w:val="20"/>
        </w:rPr>
      </w:pPr>
      <w:r>
        <w:rPr>
          <w:rFonts w:asciiTheme="minorHAnsi" w:hAnsiTheme="minorHAnsi"/>
          <w:b w:val="0"/>
          <w:i w:val="0"/>
          <w:sz w:val="24"/>
        </w:rPr>
        <w:t>Within the framework of SFBRWQCB</w:t>
      </w:r>
      <w:r w:rsidRPr="00965E9D">
        <w:rPr>
          <w:rFonts w:asciiTheme="minorHAnsi" w:hAnsiTheme="minorHAnsi"/>
          <w:b w:val="0"/>
          <w:i w:val="0"/>
          <w:sz w:val="24"/>
        </w:rPr>
        <w:t xml:space="preserve"> and BACWA</w:t>
      </w:r>
      <w:r>
        <w:rPr>
          <w:rFonts w:asciiTheme="minorHAnsi" w:hAnsiTheme="minorHAnsi"/>
          <w:b w:val="0"/>
          <w:i w:val="0"/>
          <w:sz w:val="24"/>
        </w:rPr>
        <w:t xml:space="preserve">’s cooperative effort on nutrients in San Francisco Bay, this </w:t>
      </w:r>
      <w:r w:rsidR="001129A5">
        <w:rPr>
          <w:rFonts w:asciiTheme="minorHAnsi" w:hAnsiTheme="minorHAnsi"/>
          <w:b w:val="0"/>
          <w:i w:val="0"/>
          <w:sz w:val="24"/>
        </w:rPr>
        <w:t>Scope of Work (SOW) will</w:t>
      </w:r>
      <w:r w:rsidR="00965E9D">
        <w:rPr>
          <w:rFonts w:asciiTheme="minorHAnsi" w:hAnsiTheme="minorHAnsi"/>
          <w:b w:val="0"/>
          <w:i w:val="0"/>
          <w:sz w:val="24"/>
        </w:rPr>
        <w:t xml:space="preserve"> support </w:t>
      </w:r>
      <w:r>
        <w:rPr>
          <w:rFonts w:asciiTheme="minorHAnsi" w:hAnsiTheme="minorHAnsi"/>
          <w:b w:val="0"/>
          <w:i w:val="0"/>
          <w:sz w:val="24"/>
        </w:rPr>
        <w:t xml:space="preserve">on-going </w:t>
      </w:r>
      <w:r w:rsidR="00965E9D">
        <w:rPr>
          <w:rFonts w:asciiTheme="minorHAnsi" w:hAnsiTheme="minorHAnsi"/>
          <w:b w:val="0"/>
          <w:i w:val="0"/>
          <w:sz w:val="24"/>
        </w:rPr>
        <w:t>nutrient strategy development,</w:t>
      </w:r>
      <w:r>
        <w:rPr>
          <w:rFonts w:asciiTheme="minorHAnsi" w:hAnsiTheme="minorHAnsi"/>
          <w:b w:val="0"/>
          <w:i w:val="0"/>
          <w:sz w:val="24"/>
        </w:rPr>
        <w:t xml:space="preserve"> and begin work on two sets of high priority projects.  </w:t>
      </w:r>
      <w:r w:rsidR="00965E9D">
        <w:rPr>
          <w:rFonts w:asciiTheme="minorHAnsi" w:hAnsiTheme="minorHAnsi"/>
          <w:b w:val="0"/>
          <w:bCs w:val="0"/>
          <w:i w:val="0"/>
          <w:iCs w:val="0"/>
          <w:sz w:val="24"/>
          <w:szCs w:val="20"/>
        </w:rPr>
        <w:t xml:space="preserve">The </w:t>
      </w:r>
      <w:r w:rsidR="001129A5">
        <w:rPr>
          <w:rFonts w:asciiTheme="minorHAnsi" w:hAnsiTheme="minorHAnsi"/>
          <w:b w:val="0"/>
          <w:bCs w:val="0"/>
          <w:i w:val="0"/>
          <w:iCs w:val="0"/>
          <w:sz w:val="24"/>
          <w:szCs w:val="20"/>
        </w:rPr>
        <w:t>SOW</w:t>
      </w:r>
      <w:r w:rsidR="00965E9D">
        <w:rPr>
          <w:rFonts w:asciiTheme="minorHAnsi" w:hAnsiTheme="minorHAnsi"/>
          <w:b w:val="0"/>
          <w:bCs w:val="0"/>
          <w:i w:val="0"/>
          <w:iCs w:val="0"/>
          <w:sz w:val="24"/>
          <w:szCs w:val="20"/>
        </w:rPr>
        <w:t xml:space="preserve"> consists of </w:t>
      </w:r>
      <w:r w:rsidR="001103C0">
        <w:rPr>
          <w:rFonts w:asciiTheme="minorHAnsi" w:hAnsiTheme="minorHAnsi"/>
          <w:b w:val="0"/>
          <w:bCs w:val="0"/>
          <w:i w:val="0"/>
          <w:iCs w:val="0"/>
          <w:sz w:val="24"/>
          <w:szCs w:val="20"/>
        </w:rPr>
        <w:t>4</w:t>
      </w:r>
      <w:r w:rsidR="00965E9D">
        <w:rPr>
          <w:rFonts w:asciiTheme="minorHAnsi" w:hAnsiTheme="minorHAnsi"/>
          <w:b w:val="0"/>
          <w:bCs w:val="0"/>
          <w:i w:val="0"/>
          <w:iCs w:val="0"/>
          <w:sz w:val="24"/>
          <w:szCs w:val="20"/>
        </w:rPr>
        <w:t xml:space="preserve"> </w:t>
      </w:r>
      <w:r w:rsidR="00841C65">
        <w:rPr>
          <w:rFonts w:asciiTheme="minorHAnsi" w:hAnsiTheme="minorHAnsi"/>
          <w:b w:val="0"/>
          <w:bCs w:val="0"/>
          <w:i w:val="0"/>
          <w:iCs w:val="0"/>
          <w:sz w:val="24"/>
          <w:szCs w:val="20"/>
        </w:rPr>
        <w:t>tasks</w:t>
      </w:r>
      <w:r w:rsidR="00965E9D">
        <w:rPr>
          <w:rFonts w:asciiTheme="minorHAnsi" w:hAnsiTheme="minorHAnsi"/>
          <w:b w:val="0"/>
          <w:bCs w:val="0"/>
          <w:i w:val="0"/>
          <w:iCs w:val="0"/>
          <w:sz w:val="24"/>
          <w:szCs w:val="20"/>
        </w:rPr>
        <w:t xml:space="preserve">: </w:t>
      </w:r>
    </w:p>
    <w:p w:rsidR="00DA6B0F" w:rsidRDefault="00DA6B0F" w:rsidP="00E627A3">
      <w:pPr>
        <w:pStyle w:val="Heading2"/>
        <w:spacing w:before="0" w:after="120"/>
        <w:rPr>
          <w:rFonts w:asciiTheme="minorHAnsi" w:hAnsiTheme="minorHAnsi"/>
          <w:b w:val="0"/>
          <w:bCs w:val="0"/>
          <w:i w:val="0"/>
          <w:iCs w:val="0"/>
          <w:sz w:val="24"/>
          <w:szCs w:val="20"/>
        </w:rPr>
      </w:pPr>
      <w:r>
        <w:rPr>
          <w:rFonts w:asciiTheme="minorHAnsi" w:hAnsiTheme="minorHAnsi"/>
          <w:b w:val="0"/>
          <w:bCs w:val="0"/>
          <w:i w:val="0"/>
          <w:iCs w:val="0"/>
          <w:sz w:val="24"/>
          <w:szCs w:val="20"/>
        </w:rPr>
        <w:t>Task 1: Project Administration and Reporting</w:t>
      </w:r>
    </w:p>
    <w:p w:rsidR="00841C65" w:rsidRDefault="00841C65" w:rsidP="00E627A3">
      <w:pPr>
        <w:pStyle w:val="Heading2"/>
        <w:spacing w:before="0" w:after="120"/>
        <w:rPr>
          <w:rFonts w:asciiTheme="minorHAnsi" w:hAnsiTheme="minorHAnsi"/>
          <w:b w:val="0"/>
          <w:bCs w:val="0"/>
          <w:i w:val="0"/>
          <w:iCs w:val="0"/>
          <w:sz w:val="24"/>
          <w:szCs w:val="20"/>
        </w:rPr>
      </w:pPr>
      <w:r>
        <w:rPr>
          <w:rFonts w:asciiTheme="minorHAnsi" w:hAnsiTheme="minorHAnsi"/>
          <w:b w:val="0"/>
          <w:bCs w:val="0"/>
          <w:i w:val="0"/>
          <w:iCs w:val="0"/>
          <w:sz w:val="24"/>
          <w:szCs w:val="20"/>
        </w:rPr>
        <w:t xml:space="preserve">Task </w:t>
      </w:r>
      <w:r w:rsidR="00DA6B0F">
        <w:rPr>
          <w:rFonts w:asciiTheme="minorHAnsi" w:hAnsiTheme="minorHAnsi"/>
          <w:b w:val="0"/>
          <w:bCs w:val="0"/>
          <w:i w:val="0"/>
          <w:iCs w:val="0"/>
          <w:sz w:val="24"/>
          <w:szCs w:val="20"/>
        </w:rPr>
        <w:t>2</w:t>
      </w:r>
      <w:r w:rsidR="00965E9D">
        <w:rPr>
          <w:rFonts w:asciiTheme="minorHAnsi" w:hAnsiTheme="minorHAnsi"/>
          <w:b w:val="0"/>
          <w:bCs w:val="0"/>
          <w:i w:val="0"/>
          <w:iCs w:val="0"/>
          <w:sz w:val="24"/>
          <w:szCs w:val="20"/>
        </w:rPr>
        <w:t>: Coordination of Nutrient Strategy Development and Implementation</w:t>
      </w:r>
    </w:p>
    <w:p w:rsidR="00841C65" w:rsidRDefault="00841C65" w:rsidP="00E627A3">
      <w:pPr>
        <w:pStyle w:val="Heading2"/>
        <w:spacing w:before="0" w:after="120"/>
        <w:rPr>
          <w:rFonts w:asciiTheme="minorHAnsi" w:hAnsiTheme="minorHAnsi"/>
          <w:b w:val="0"/>
          <w:bCs w:val="0"/>
          <w:i w:val="0"/>
          <w:iCs w:val="0"/>
          <w:sz w:val="24"/>
          <w:szCs w:val="20"/>
        </w:rPr>
      </w:pPr>
      <w:r>
        <w:rPr>
          <w:rFonts w:asciiTheme="minorHAnsi" w:hAnsiTheme="minorHAnsi"/>
          <w:b w:val="0"/>
          <w:bCs w:val="0"/>
          <w:i w:val="0"/>
          <w:iCs w:val="0"/>
          <w:sz w:val="24"/>
          <w:szCs w:val="20"/>
        </w:rPr>
        <w:t xml:space="preserve">Task </w:t>
      </w:r>
      <w:r w:rsidR="00DA6B0F">
        <w:rPr>
          <w:rFonts w:asciiTheme="minorHAnsi" w:hAnsiTheme="minorHAnsi"/>
          <w:b w:val="0"/>
          <w:bCs w:val="0"/>
          <w:i w:val="0"/>
          <w:iCs w:val="0"/>
          <w:sz w:val="24"/>
          <w:szCs w:val="20"/>
        </w:rPr>
        <w:t>3</w:t>
      </w:r>
      <w:r w:rsidR="00965E9D">
        <w:rPr>
          <w:rFonts w:asciiTheme="minorHAnsi" w:hAnsiTheme="minorHAnsi"/>
          <w:b w:val="0"/>
          <w:bCs w:val="0"/>
          <w:i w:val="0"/>
          <w:iCs w:val="0"/>
          <w:sz w:val="24"/>
          <w:szCs w:val="20"/>
        </w:rPr>
        <w:t xml:space="preserve">: </w:t>
      </w:r>
      <w:r w:rsidR="00413274">
        <w:rPr>
          <w:rFonts w:asciiTheme="minorHAnsi" w:hAnsiTheme="minorHAnsi"/>
          <w:b w:val="0"/>
          <w:bCs w:val="0"/>
          <w:i w:val="0"/>
          <w:iCs w:val="0"/>
          <w:sz w:val="24"/>
          <w:szCs w:val="20"/>
        </w:rPr>
        <w:t xml:space="preserve">Numeric </w:t>
      </w:r>
      <w:r w:rsidR="00965E9D" w:rsidRPr="00965E9D">
        <w:rPr>
          <w:rFonts w:asciiTheme="minorHAnsi" w:hAnsiTheme="minorHAnsi"/>
          <w:b w:val="0"/>
          <w:bCs w:val="0"/>
          <w:i w:val="0"/>
          <w:iCs w:val="0"/>
          <w:sz w:val="24"/>
          <w:szCs w:val="20"/>
        </w:rPr>
        <w:t>Models and Budgets</w:t>
      </w:r>
      <w:r w:rsidR="00413274">
        <w:rPr>
          <w:rFonts w:asciiTheme="minorHAnsi" w:hAnsiTheme="minorHAnsi"/>
          <w:b w:val="0"/>
          <w:bCs w:val="0"/>
          <w:i w:val="0"/>
          <w:iCs w:val="0"/>
          <w:sz w:val="24"/>
          <w:szCs w:val="20"/>
        </w:rPr>
        <w:t>: S</w:t>
      </w:r>
      <w:r w:rsidR="00965E9D" w:rsidRPr="00965E9D">
        <w:rPr>
          <w:rFonts w:asciiTheme="minorHAnsi" w:hAnsiTheme="minorHAnsi"/>
          <w:b w:val="0"/>
          <w:bCs w:val="0"/>
          <w:i w:val="0"/>
          <w:iCs w:val="0"/>
          <w:sz w:val="24"/>
          <w:szCs w:val="20"/>
        </w:rPr>
        <w:t>uisun Bay and South Bay</w:t>
      </w:r>
    </w:p>
    <w:p w:rsidR="00841C65" w:rsidRDefault="00841C65" w:rsidP="00E627A3">
      <w:pPr>
        <w:pStyle w:val="Heading2"/>
        <w:spacing w:before="0" w:after="120"/>
        <w:rPr>
          <w:rFonts w:asciiTheme="minorHAnsi" w:hAnsiTheme="minorHAnsi"/>
          <w:b w:val="0"/>
          <w:bCs w:val="0"/>
          <w:i w:val="0"/>
          <w:iCs w:val="0"/>
          <w:sz w:val="24"/>
          <w:szCs w:val="20"/>
        </w:rPr>
      </w:pPr>
      <w:r>
        <w:rPr>
          <w:rFonts w:asciiTheme="minorHAnsi" w:hAnsiTheme="minorHAnsi"/>
          <w:b w:val="0"/>
          <w:bCs w:val="0"/>
          <w:i w:val="0"/>
          <w:iCs w:val="0"/>
          <w:sz w:val="24"/>
          <w:szCs w:val="20"/>
        </w:rPr>
        <w:t xml:space="preserve">Task </w:t>
      </w:r>
      <w:r w:rsidR="00DA6B0F">
        <w:rPr>
          <w:rFonts w:asciiTheme="minorHAnsi" w:hAnsiTheme="minorHAnsi"/>
          <w:b w:val="0"/>
          <w:bCs w:val="0"/>
          <w:i w:val="0"/>
          <w:iCs w:val="0"/>
          <w:sz w:val="24"/>
          <w:szCs w:val="20"/>
        </w:rPr>
        <w:t>4</w:t>
      </w:r>
      <w:r w:rsidR="00850F02">
        <w:rPr>
          <w:rFonts w:asciiTheme="minorHAnsi" w:hAnsiTheme="minorHAnsi"/>
          <w:b w:val="0"/>
          <w:bCs w:val="0"/>
          <w:i w:val="0"/>
          <w:iCs w:val="0"/>
          <w:sz w:val="24"/>
          <w:szCs w:val="20"/>
        </w:rPr>
        <w:t xml:space="preserve">: </w:t>
      </w:r>
      <w:r>
        <w:rPr>
          <w:rFonts w:asciiTheme="minorHAnsi" w:hAnsiTheme="minorHAnsi"/>
          <w:b w:val="0"/>
          <w:bCs w:val="0"/>
          <w:i w:val="0"/>
          <w:iCs w:val="0"/>
          <w:sz w:val="24"/>
          <w:szCs w:val="20"/>
        </w:rPr>
        <w:t>Synthesis of Science Supporting Decisions on Regulation of Ammonium</w:t>
      </w:r>
      <w:r w:rsidR="00922993">
        <w:rPr>
          <w:rFonts w:asciiTheme="minorHAnsi" w:hAnsiTheme="minorHAnsi"/>
          <w:b w:val="0"/>
          <w:bCs w:val="0"/>
          <w:i w:val="0"/>
          <w:iCs w:val="0"/>
          <w:sz w:val="24"/>
          <w:szCs w:val="20"/>
        </w:rPr>
        <w:t>.</w:t>
      </w:r>
      <w:r w:rsidR="00850F02">
        <w:rPr>
          <w:rFonts w:asciiTheme="minorHAnsi" w:hAnsiTheme="minorHAnsi"/>
          <w:b w:val="0"/>
          <w:bCs w:val="0"/>
          <w:i w:val="0"/>
          <w:iCs w:val="0"/>
          <w:sz w:val="24"/>
          <w:szCs w:val="20"/>
        </w:rPr>
        <w:t xml:space="preserve"> </w:t>
      </w:r>
      <w:r w:rsidR="00CA41FF">
        <w:rPr>
          <w:rFonts w:asciiTheme="minorHAnsi" w:hAnsiTheme="minorHAnsi"/>
          <w:b w:val="0"/>
          <w:bCs w:val="0"/>
          <w:i w:val="0"/>
          <w:iCs w:val="0"/>
          <w:sz w:val="24"/>
          <w:szCs w:val="20"/>
        </w:rPr>
        <w:t xml:space="preserve"> </w:t>
      </w:r>
    </w:p>
    <w:p w:rsidR="005674EE" w:rsidRDefault="00CA41FF" w:rsidP="00E627A3">
      <w:pPr>
        <w:pStyle w:val="Heading2"/>
        <w:spacing w:before="0" w:after="120"/>
        <w:rPr>
          <w:rFonts w:asciiTheme="minorHAnsi" w:hAnsiTheme="minorHAnsi"/>
          <w:b w:val="0"/>
          <w:bCs w:val="0"/>
          <w:i w:val="0"/>
          <w:iCs w:val="0"/>
          <w:sz w:val="24"/>
          <w:szCs w:val="20"/>
        </w:rPr>
      </w:pPr>
      <w:r>
        <w:rPr>
          <w:rFonts w:asciiTheme="minorHAnsi" w:hAnsiTheme="minorHAnsi"/>
          <w:b w:val="0"/>
          <w:bCs w:val="0"/>
          <w:i w:val="0"/>
          <w:iCs w:val="0"/>
          <w:sz w:val="24"/>
          <w:szCs w:val="20"/>
        </w:rPr>
        <w:t>This work will be carried out by the Aquatic Science Center (ASC) and the San Francisco Estuary Institute (SFEI)</w:t>
      </w:r>
      <w:r w:rsidR="00E67BB6">
        <w:rPr>
          <w:rFonts w:asciiTheme="minorHAnsi" w:hAnsiTheme="minorHAnsi"/>
          <w:b w:val="0"/>
          <w:bCs w:val="0"/>
          <w:i w:val="0"/>
          <w:iCs w:val="0"/>
          <w:sz w:val="24"/>
          <w:szCs w:val="20"/>
        </w:rPr>
        <w:t xml:space="preserve"> in coll</w:t>
      </w:r>
      <w:r w:rsidR="001129A5">
        <w:rPr>
          <w:rFonts w:asciiTheme="minorHAnsi" w:hAnsiTheme="minorHAnsi"/>
          <w:b w:val="0"/>
          <w:bCs w:val="0"/>
          <w:i w:val="0"/>
          <w:iCs w:val="0"/>
          <w:sz w:val="24"/>
          <w:szCs w:val="20"/>
        </w:rPr>
        <w:t>a</w:t>
      </w:r>
      <w:r w:rsidR="00E67BB6">
        <w:rPr>
          <w:rFonts w:asciiTheme="minorHAnsi" w:hAnsiTheme="minorHAnsi"/>
          <w:b w:val="0"/>
          <w:bCs w:val="0"/>
          <w:i w:val="0"/>
          <w:iCs w:val="0"/>
          <w:sz w:val="24"/>
          <w:szCs w:val="20"/>
        </w:rPr>
        <w:t>b</w:t>
      </w:r>
      <w:r w:rsidR="001129A5">
        <w:rPr>
          <w:rFonts w:asciiTheme="minorHAnsi" w:hAnsiTheme="minorHAnsi"/>
          <w:b w:val="0"/>
          <w:bCs w:val="0"/>
          <w:i w:val="0"/>
          <w:iCs w:val="0"/>
          <w:sz w:val="24"/>
          <w:szCs w:val="20"/>
        </w:rPr>
        <w:t>o</w:t>
      </w:r>
      <w:r w:rsidR="00E67BB6">
        <w:rPr>
          <w:rFonts w:asciiTheme="minorHAnsi" w:hAnsiTheme="minorHAnsi"/>
          <w:b w:val="0"/>
          <w:bCs w:val="0"/>
          <w:i w:val="0"/>
          <w:iCs w:val="0"/>
          <w:sz w:val="24"/>
          <w:szCs w:val="20"/>
        </w:rPr>
        <w:t xml:space="preserve">ration with Southern California Coastal Waters Research Project (SCCWRP), </w:t>
      </w:r>
      <w:r w:rsidR="00F2489A">
        <w:rPr>
          <w:rFonts w:asciiTheme="minorHAnsi" w:hAnsiTheme="minorHAnsi"/>
          <w:b w:val="0"/>
          <w:bCs w:val="0"/>
          <w:i w:val="0"/>
          <w:iCs w:val="0"/>
          <w:sz w:val="24"/>
          <w:szCs w:val="20"/>
        </w:rPr>
        <w:t xml:space="preserve">and </w:t>
      </w:r>
      <w:r>
        <w:rPr>
          <w:rFonts w:asciiTheme="minorHAnsi" w:hAnsiTheme="minorHAnsi"/>
          <w:b w:val="0"/>
          <w:bCs w:val="0"/>
          <w:i w:val="0"/>
          <w:iCs w:val="0"/>
          <w:sz w:val="24"/>
          <w:szCs w:val="20"/>
        </w:rPr>
        <w:t>in cooperation with SFBRWQCB, BACWA, other regional stakeholders, and regional scientists.</w:t>
      </w:r>
      <w:r w:rsidR="00841C65">
        <w:rPr>
          <w:rFonts w:asciiTheme="minorHAnsi" w:hAnsiTheme="minorHAnsi"/>
          <w:b w:val="0"/>
          <w:bCs w:val="0"/>
          <w:i w:val="0"/>
          <w:iCs w:val="0"/>
          <w:sz w:val="24"/>
          <w:szCs w:val="20"/>
        </w:rPr>
        <w:t xml:space="preserve"> </w:t>
      </w:r>
    </w:p>
    <w:p w:rsidR="005674EE" w:rsidRDefault="005674EE" w:rsidP="005674EE"/>
    <w:p w:rsidR="00034ECA" w:rsidRDefault="00236123" w:rsidP="00E627A3">
      <w:pPr>
        <w:rPr>
          <w:b/>
        </w:rPr>
      </w:pPr>
      <w:r>
        <w:rPr>
          <w:b/>
        </w:rPr>
        <w:t>1</w:t>
      </w:r>
      <w:r w:rsidR="00034ECA" w:rsidRPr="00034ECA">
        <w:rPr>
          <w:b/>
        </w:rPr>
        <w:t xml:space="preserve">. </w:t>
      </w:r>
      <w:r w:rsidR="00034ECA">
        <w:rPr>
          <w:b/>
        </w:rPr>
        <w:t>Tasks and Deliverables</w:t>
      </w:r>
    </w:p>
    <w:p w:rsidR="00853254" w:rsidRDefault="00853254" w:rsidP="00E627A3">
      <w:pPr>
        <w:rPr>
          <w:b/>
        </w:rPr>
      </w:pPr>
    </w:p>
    <w:p w:rsidR="00853254" w:rsidRDefault="00853254" w:rsidP="00E627A3">
      <w:pPr>
        <w:rPr>
          <w:b/>
        </w:rPr>
      </w:pPr>
      <w:r>
        <w:rPr>
          <w:b/>
        </w:rPr>
        <w:t>Task 1. Project Administration and Reporting</w:t>
      </w:r>
    </w:p>
    <w:p w:rsidR="00853254" w:rsidRPr="00853254" w:rsidRDefault="00853254" w:rsidP="00853254">
      <w:pPr>
        <w:rPr>
          <w:b/>
        </w:rPr>
      </w:pPr>
    </w:p>
    <w:p w:rsidR="00413274" w:rsidRDefault="00413274" w:rsidP="00413274">
      <w:pPr>
        <w:rPr>
          <w:b/>
          <w:i/>
        </w:rPr>
      </w:pPr>
      <w:r w:rsidRPr="00413274">
        <w:rPr>
          <w:b/>
          <w:i/>
        </w:rPr>
        <w:t xml:space="preserve">Subtask </w:t>
      </w:r>
      <w:r w:rsidR="007A6ADC" w:rsidRPr="00413274">
        <w:rPr>
          <w:b/>
          <w:i/>
        </w:rPr>
        <w:t>1.1</w:t>
      </w:r>
      <w:r w:rsidRPr="00413274">
        <w:rPr>
          <w:b/>
          <w:i/>
        </w:rPr>
        <w:t xml:space="preserve">  Project Administration </w:t>
      </w:r>
    </w:p>
    <w:p w:rsidR="00DA6B0F" w:rsidRPr="00171EAC" w:rsidRDefault="007A6ADC" w:rsidP="00413274">
      <w:r w:rsidRPr="00171EAC">
        <w:t xml:space="preserve">SFEI will provide all technical and administrative services as needed for Agreement completion; monitor, supervise and review all work performed; and coordinate budgeting and scheduling to assure that the Agreement is completed within budget, </w:t>
      </w:r>
      <w:r w:rsidR="00761D46">
        <w:t xml:space="preserve">and </w:t>
      </w:r>
      <w:r w:rsidRPr="00171EAC">
        <w:t>on schedule</w:t>
      </w:r>
      <w:r w:rsidR="00761D46">
        <w:t>.</w:t>
      </w:r>
    </w:p>
    <w:p w:rsidR="00853254" w:rsidRPr="00171EAC" w:rsidRDefault="00853254" w:rsidP="00853254"/>
    <w:p w:rsidR="00413274" w:rsidRPr="00171EAC" w:rsidRDefault="00413274">
      <w:pPr>
        <w:ind w:left="720" w:hanging="720"/>
        <w:rPr>
          <w:b/>
          <w:i/>
        </w:rPr>
      </w:pPr>
      <w:r w:rsidRPr="00171EAC">
        <w:rPr>
          <w:b/>
          <w:i/>
        </w:rPr>
        <w:t>Subtask 1.2 Project Reporting</w:t>
      </w:r>
    </w:p>
    <w:p w:rsidR="00DA6B0F" w:rsidRDefault="00853254" w:rsidP="00413274">
      <w:r w:rsidRPr="00761D46">
        <w:t xml:space="preserve">SFEI will </w:t>
      </w:r>
      <w:r w:rsidR="00133DDB" w:rsidRPr="00761D46">
        <w:t xml:space="preserve">invoice </w:t>
      </w:r>
      <w:r w:rsidR="007A6ADC" w:rsidRPr="00761D46">
        <w:t xml:space="preserve">quarterly </w:t>
      </w:r>
      <w:r w:rsidR="00133DDB" w:rsidRPr="00761D46">
        <w:t xml:space="preserve">and submit quarterly </w:t>
      </w:r>
      <w:r w:rsidR="007A6ADC" w:rsidRPr="00761D46">
        <w:t xml:space="preserve">progress reports by the twentieth (20th) of the month following the end of the calendar quarter (March, June, September, and December) and through regular communication </w:t>
      </w:r>
      <w:r w:rsidR="001129A5" w:rsidRPr="00761D46">
        <w:t xml:space="preserve">with </w:t>
      </w:r>
      <w:r w:rsidRPr="00761D46">
        <w:t>the</w:t>
      </w:r>
      <w:r w:rsidR="007A6ADC" w:rsidRPr="00761D46">
        <w:t xml:space="preserve"> </w:t>
      </w:r>
      <w:r w:rsidR="007A6ADC" w:rsidRPr="003B69A4">
        <w:t>Contract Manager.</w:t>
      </w:r>
      <w:r w:rsidR="007F5B38">
        <w:t xml:space="preserve"> </w:t>
      </w:r>
    </w:p>
    <w:p w:rsidR="00853254" w:rsidRPr="00853254" w:rsidRDefault="00853254" w:rsidP="00853254">
      <w:pPr>
        <w:rPr>
          <w:b/>
        </w:rPr>
      </w:pPr>
    </w:p>
    <w:p w:rsidR="00413274" w:rsidRDefault="00413274" w:rsidP="00853254">
      <w:pPr>
        <w:rPr>
          <w:b/>
        </w:rPr>
      </w:pPr>
      <w:r>
        <w:rPr>
          <w:i/>
        </w:rPr>
        <w:t>Subtask 1.2</w:t>
      </w:r>
      <w:r w:rsidR="00853254" w:rsidRPr="00853254">
        <w:rPr>
          <w:b/>
        </w:rPr>
        <w:t xml:space="preserve"> </w:t>
      </w:r>
      <w:r w:rsidR="00853254" w:rsidRPr="00413274">
        <w:rPr>
          <w:i/>
        </w:rPr>
        <w:t>Deliverables</w:t>
      </w:r>
    </w:p>
    <w:p w:rsidR="00853254" w:rsidRPr="00413274" w:rsidRDefault="00413274" w:rsidP="00853254">
      <w:r w:rsidRPr="00413274">
        <w:t>1.2.1</w:t>
      </w:r>
      <w:r w:rsidR="00853254" w:rsidRPr="00413274">
        <w:t xml:space="preserve"> Quarterly </w:t>
      </w:r>
      <w:r w:rsidR="005674EE">
        <w:t xml:space="preserve">written </w:t>
      </w:r>
      <w:r>
        <w:t>p</w:t>
      </w:r>
      <w:r w:rsidR="00853254" w:rsidRPr="00413274">
        <w:t xml:space="preserve">rogress </w:t>
      </w:r>
      <w:r>
        <w:t>r</w:t>
      </w:r>
      <w:r w:rsidR="00853254" w:rsidRPr="00413274">
        <w:t>eports</w:t>
      </w:r>
    </w:p>
    <w:p w:rsidR="00FE314C" w:rsidRDefault="00FE314C" w:rsidP="00E627A3"/>
    <w:p w:rsidR="00723662" w:rsidRDefault="00841C65" w:rsidP="00723662">
      <w:pPr>
        <w:spacing w:after="120"/>
      </w:pPr>
      <w:r>
        <w:rPr>
          <w:b/>
        </w:rPr>
        <w:t xml:space="preserve">Task </w:t>
      </w:r>
      <w:r w:rsidR="00E41308">
        <w:rPr>
          <w:b/>
        </w:rPr>
        <w:t>2</w:t>
      </w:r>
      <w:r w:rsidR="00723662">
        <w:rPr>
          <w:b/>
        </w:rPr>
        <w:t xml:space="preserve">: </w:t>
      </w:r>
      <w:r w:rsidR="00E167B9" w:rsidRPr="00E167B9">
        <w:rPr>
          <w:b/>
        </w:rPr>
        <w:t xml:space="preserve">Coordination of </w:t>
      </w:r>
      <w:r w:rsidR="008B1149">
        <w:rPr>
          <w:b/>
        </w:rPr>
        <w:t xml:space="preserve">Nutrient </w:t>
      </w:r>
      <w:r w:rsidR="00E167B9" w:rsidRPr="00E167B9">
        <w:rPr>
          <w:b/>
        </w:rPr>
        <w:t>Strategy Development and Implementation</w:t>
      </w:r>
      <w:r w:rsidR="0035177E">
        <w:rPr>
          <w:b/>
        </w:rPr>
        <w:t xml:space="preserve"> </w:t>
      </w:r>
      <w:r w:rsidR="00FE314C">
        <w:t xml:space="preserve">Numerous </w:t>
      </w:r>
      <w:r w:rsidR="001F5EAD">
        <w:t>organizations</w:t>
      </w:r>
      <w:r w:rsidR="00FE314C">
        <w:t xml:space="preserve"> are </w:t>
      </w:r>
      <w:r w:rsidR="008A3E99">
        <w:t xml:space="preserve">either </w:t>
      </w:r>
      <w:r w:rsidR="008B1149">
        <w:t xml:space="preserve">funding or </w:t>
      </w:r>
      <w:r w:rsidR="00FE314C">
        <w:t xml:space="preserve">actively engaged in nutrient-related work in </w:t>
      </w:r>
      <w:r w:rsidR="00E167B9">
        <w:t>the Bay-Delta Estuary (</w:t>
      </w:r>
      <w:r w:rsidR="008B1149">
        <w:t xml:space="preserve">e.g., </w:t>
      </w:r>
      <w:r w:rsidR="00413274">
        <w:t>Region 2 Water Board</w:t>
      </w:r>
      <w:r w:rsidR="001F5EAD">
        <w:t>, R</w:t>
      </w:r>
      <w:r w:rsidR="00413274">
        <w:t>egion 5 Water Board</w:t>
      </w:r>
      <w:r w:rsidR="001F5EAD">
        <w:t xml:space="preserve">, </w:t>
      </w:r>
      <w:r w:rsidR="00413274">
        <w:t xml:space="preserve">Interagency Ecological Program, </w:t>
      </w:r>
      <w:r w:rsidR="001F5EAD">
        <w:t>U</w:t>
      </w:r>
      <w:r w:rsidR="00413274">
        <w:t xml:space="preserve">nited States Geological Survey, </w:t>
      </w:r>
      <w:r w:rsidR="008B1149">
        <w:t xml:space="preserve">Romberg Tiburon Center, </w:t>
      </w:r>
      <w:r w:rsidR="001F5EAD">
        <w:t xml:space="preserve">State and Federal Water Contractors, </w:t>
      </w:r>
      <w:r w:rsidR="008B1149">
        <w:t xml:space="preserve">Delta Stewardship Council, BACWA, </w:t>
      </w:r>
      <w:r w:rsidR="00413274">
        <w:lastRenderedPageBreak/>
        <w:t>Bay Area Stormwater Management Agencies Association</w:t>
      </w:r>
      <w:r w:rsidR="008B1149">
        <w:t>, D</w:t>
      </w:r>
      <w:r w:rsidR="00413274">
        <w:t xml:space="preserve">epartment of </w:t>
      </w:r>
      <w:r w:rsidR="008B1149">
        <w:t>W</w:t>
      </w:r>
      <w:r w:rsidR="00413274">
        <w:t xml:space="preserve">ater </w:t>
      </w:r>
      <w:r w:rsidR="008B1149">
        <w:t>R</w:t>
      </w:r>
      <w:r w:rsidR="00413274">
        <w:t>esources</w:t>
      </w:r>
      <w:r w:rsidR="008B1149">
        <w:t>).  However, there is limited</w:t>
      </w:r>
      <w:r w:rsidR="00E167B9">
        <w:t xml:space="preserve"> coordination </w:t>
      </w:r>
      <w:r w:rsidR="003C72CB">
        <w:t>among</w:t>
      </w:r>
      <w:r w:rsidR="00E167B9">
        <w:t xml:space="preserve"> the</w:t>
      </w:r>
      <w:r w:rsidR="008A3E99">
        <w:t>se</w:t>
      </w:r>
      <w:r w:rsidR="001F5EAD">
        <w:t xml:space="preserve"> efforts</w:t>
      </w:r>
      <w:r w:rsidR="00E167B9">
        <w:t>, and no overarching set of science or management goal</w:t>
      </w:r>
      <w:r w:rsidR="008B1149">
        <w:t xml:space="preserve">s, or a cohesive science plan, </w:t>
      </w:r>
      <w:r w:rsidR="00E167B9">
        <w:t xml:space="preserve">across Bay segments and into the Delta. </w:t>
      </w:r>
      <w:r w:rsidR="008B1149">
        <w:t xml:space="preserve"> </w:t>
      </w:r>
      <w:r w:rsidR="00F810ED">
        <w:t>A</w:t>
      </w:r>
      <w:r w:rsidR="00E167B9">
        <w:t xml:space="preserve"> nutrient science and management strategy for the Bay-Delta Estuary is urgently needed</w:t>
      </w:r>
      <w:r w:rsidR="008B1149">
        <w:t xml:space="preserve"> so that work</w:t>
      </w:r>
      <w:r w:rsidR="00E95657">
        <w:t xml:space="preserve"> is carried out in a </w:t>
      </w:r>
      <w:r w:rsidR="00723662">
        <w:t xml:space="preserve">coherent, complementary, and prioritized </w:t>
      </w:r>
      <w:r w:rsidR="00E95657">
        <w:t>fashion</w:t>
      </w:r>
      <w:r w:rsidR="00723662">
        <w:t>.</w:t>
      </w:r>
      <w:r w:rsidR="00E95657">
        <w:t xml:space="preserve"> </w:t>
      </w:r>
    </w:p>
    <w:p w:rsidR="00723662" w:rsidRDefault="00E95657" w:rsidP="00E167B9">
      <w:r>
        <w:t>This</w:t>
      </w:r>
      <w:r w:rsidR="00E67BB6">
        <w:t xml:space="preserve"> </w:t>
      </w:r>
      <w:r w:rsidR="00C8776F">
        <w:t>purpose of this</w:t>
      </w:r>
      <w:r>
        <w:t xml:space="preserve"> </w:t>
      </w:r>
      <w:r w:rsidR="00E67BB6">
        <w:t>task</w:t>
      </w:r>
      <w:r>
        <w:t xml:space="preserve"> </w:t>
      </w:r>
      <w:r w:rsidR="00841C65">
        <w:t xml:space="preserve">is to coordinate </w:t>
      </w:r>
      <w:r>
        <w:t>the develop</w:t>
      </w:r>
      <w:r w:rsidR="00723662">
        <w:t>ment of</w:t>
      </w:r>
      <w:r>
        <w:t xml:space="preserve"> </w:t>
      </w:r>
      <w:r w:rsidR="00841C65">
        <w:t xml:space="preserve">a </w:t>
      </w:r>
      <w:r w:rsidR="002C0819">
        <w:t xml:space="preserve">nutrient strategy that has </w:t>
      </w:r>
      <w:r>
        <w:t xml:space="preserve">broad-base support among </w:t>
      </w:r>
      <w:r w:rsidR="008B1149">
        <w:t xml:space="preserve">the </w:t>
      </w:r>
      <w:r>
        <w:t>stakeholder</w:t>
      </w:r>
      <w:r w:rsidR="00841C65">
        <w:t>s</w:t>
      </w:r>
      <w:r w:rsidR="00306449">
        <w:t xml:space="preserve"> and regulators.</w:t>
      </w:r>
      <w:r>
        <w:t xml:space="preserve">  </w:t>
      </w:r>
      <w:r w:rsidR="001129A5">
        <w:t>The</w:t>
      </w:r>
      <w:r w:rsidR="00723662">
        <w:t xml:space="preserve"> initial focus will be placed on the Bay-proper (west of and including Suisun Bay), however upstream factors that strongly influence Suisun and down</w:t>
      </w:r>
      <w:r w:rsidR="00841C65">
        <w:t>-</w:t>
      </w:r>
      <w:r w:rsidR="00723662">
        <w:t>gradient Bay segments (e.g., nutrient loads, flow) will obviously remain a major consideration.</w:t>
      </w:r>
      <w:r w:rsidR="00841C65">
        <w:t xml:space="preserve"> T</w:t>
      </w:r>
      <w:r w:rsidR="00C8776F">
        <w:t xml:space="preserve">his work will be divided into three subtasks. </w:t>
      </w:r>
    </w:p>
    <w:p w:rsidR="00663DAA" w:rsidRDefault="00663DAA" w:rsidP="00E167B9"/>
    <w:p w:rsidR="00663DAA" w:rsidRPr="00034ECA" w:rsidRDefault="00E41308" w:rsidP="00E167B9">
      <w:pPr>
        <w:rPr>
          <w:b/>
          <w:i/>
        </w:rPr>
      </w:pPr>
      <w:r>
        <w:rPr>
          <w:b/>
          <w:i/>
        </w:rPr>
        <w:t>Subt</w:t>
      </w:r>
      <w:r w:rsidR="00B1063F" w:rsidRPr="00034ECA">
        <w:rPr>
          <w:b/>
          <w:i/>
        </w:rPr>
        <w:t xml:space="preserve">ask </w:t>
      </w:r>
      <w:r>
        <w:rPr>
          <w:b/>
          <w:i/>
        </w:rPr>
        <w:t>2</w:t>
      </w:r>
      <w:r w:rsidR="00324B61" w:rsidRPr="00034ECA">
        <w:rPr>
          <w:b/>
          <w:i/>
        </w:rPr>
        <w:t>.</w:t>
      </w:r>
      <w:r w:rsidR="00B1063F" w:rsidRPr="00034ECA">
        <w:rPr>
          <w:b/>
          <w:i/>
        </w:rPr>
        <w:t xml:space="preserve">1 </w:t>
      </w:r>
      <w:r w:rsidR="00413274">
        <w:rPr>
          <w:b/>
          <w:i/>
        </w:rPr>
        <w:t xml:space="preserve">- </w:t>
      </w:r>
      <w:r w:rsidR="00B1063F" w:rsidRPr="00034ECA">
        <w:rPr>
          <w:b/>
          <w:i/>
        </w:rPr>
        <w:t>Form a stakeholder advisory committee and facilitate the review of strategy and other strategy-related work</w:t>
      </w:r>
    </w:p>
    <w:p w:rsidR="00663DAA" w:rsidRDefault="00663DAA" w:rsidP="00E167B9"/>
    <w:p w:rsidR="00663DAA" w:rsidRDefault="001453FF" w:rsidP="00E167B9">
      <w:r>
        <w:t>In 2010-2011,</w:t>
      </w:r>
      <w:r w:rsidR="00663DAA">
        <w:t xml:space="preserve"> a SF Bay NNE stakeholder advisory group was created for the purposes of reviewing and advising on the literature review and data gaps analysis by McKee et al. (2011). </w:t>
      </w:r>
      <w:r w:rsidR="00C64CDE">
        <w:t xml:space="preserve"> </w:t>
      </w:r>
      <w:r w:rsidR="00413274">
        <w:t>Subt</w:t>
      </w:r>
      <w:r>
        <w:t xml:space="preserve">ask </w:t>
      </w:r>
      <w:r w:rsidR="00DA6B0F">
        <w:t>2</w:t>
      </w:r>
      <w:r>
        <w:t>-1</w:t>
      </w:r>
      <w:r w:rsidR="00663DAA">
        <w:t xml:space="preserve"> </w:t>
      </w:r>
      <w:r w:rsidR="005401AA">
        <w:t>involves</w:t>
      </w:r>
      <w:r w:rsidR="00663DAA">
        <w:t xml:space="preserve"> re</w:t>
      </w:r>
      <w:r w:rsidR="005401AA">
        <w:t>convening</w:t>
      </w:r>
      <w:r w:rsidR="00663DAA">
        <w:t xml:space="preserve"> this</w:t>
      </w:r>
      <w:r>
        <w:t xml:space="preserve"> core</w:t>
      </w:r>
      <w:r w:rsidR="00663DAA">
        <w:t xml:space="preserve"> advisory group</w:t>
      </w:r>
      <w:r w:rsidR="006415E7">
        <w:t>;</w:t>
      </w:r>
      <w:r w:rsidR="00663DAA">
        <w:t xml:space="preserve"> </w:t>
      </w:r>
      <w:r w:rsidR="00324B61">
        <w:t>review</w:t>
      </w:r>
      <w:r w:rsidR="005401AA">
        <w:t>ing</w:t>
      </w:r>
      <w:r w:rsidR="00663DAA">
        <w:t xml:space="preserve"> the current organization and operating principles</w:t>
      </w:r>
      <w:r w:rsidR="00F2489A">
        <w:t xml:space="preserve"> </w:t>
      </w:r>
      <w:r w:rsidR="006415E7">
        <w:t xml:space="preserve">and participant list, </w:t>
      </w:r>
      <w:r w:rsidR="005401AA">
        <w:t xml:space="preserve">and revising </w:t>
      </w:r>
      <w:r w:rsidR="00324B61">
        <w:t>where necessary</w:t>
      </w:r>
      <w:r w:rsidR="006415E7">
        <w:t>;</w:t>
      </w:r>
      <w:r w:rsidR="005401AA">
        <w:t xml:space="preserve"> and facilitating the review of the nutrient s</w:t>
      </w:r>
      <w:r w:rsidR="00663DAA">
        <w:t>trategy and other detailed work element proposals, work</w:t>
      </w:r>
      <w:r w:rsidR="00BD23D1">
        <w:t xml:space="preserve"> </w:t>
      </w:r>
      <w:r w:rsidR="00663DAA">
        <w:t>plans, an</w:t>
      </w:r>
      <w:r w:rsidR="005401AA">
        <w:t>d products associated with the s</w:t>
      </w:r>
      <w:r w:rsidR="00663DAA">
        <w:t xml:space="preserve">trategy. </w:t>
      </w:r>
    </w:p>
    <w:p w:rsidR="005401AA" w:rsidRDefault="005401AA" w:rsidP="005401AA"/>
    <w:p w:rsidR="00663DAA" w:rsidRDefault="001512D9" w:rsidP="00E167B9">
      <w:r>
        <w:t>A</w:t>
      </w:r>
      <w:r w:rsidR="00663DAA">
        <w:t xml:space="preserve"> </w:t>
      </w:r>
      <w:r>
        <w:t xml:space="preserve">professional facilitator will be hired to </w:t>
      </w:r>
      <w:r w:rsidR="00663DAA">
        <w:t xml:space="preserve">lead SF Bay stakeholder advisory group meetings and work with stakeholders to achieve, to the extent possible, stakeholder consensus on the Strategy and Strategy work element proposals and products.  </w:t>
      </w:r>
      <w:r w:rsidRPr="003C72CB">
        <w:t>Funding for facilitation has not been included in this budget and still needs to be secured.</w:t>
      </w:r>
      <w:r>
        <w:t xml:space="preserve">  </w:t>
      </w:r>
      <w:r w:rsidR="00663DAA">
        <w:t xml:space="preserve">ASC will provide meeting support and logistics for these meetings. </w:t>
      </w:r>
    </w:p>
    <w:p w:rsidR="00663DAA" w:rsidRDefault="00663DAA" w:rsidP="00E167B9"/>
    <w:p w:rsidR="00C8776F" w:rsidRDefault="00CC4089" w:rsidP="00E167B9">
      <w:r>
        <w:t xml:space="preserve">Up </w:t>
      </w:r>
      <w:r w:rsidR="005A0D13">
        <w:t>to 4</w:t>
      </w:r>
      <w:r w:rsidR="00663DAA">
        <w:t xml:space="preserve"> stakeholder meetings will be held</w:t>
      </w:r>
      <w:r w:rsidR="00C8776F">
        <w:t xml:space="preserve"> in 2012</w:t>
      </w:r>
      <w:r w:rsidR="00663DAA">
        <w:t xml:space="preserve"> to</w:t>
      </w:r>
      <w:r w:rsidR="00413274">
        <w:t xml:space="preserve"> </w:t>
      </w:r>
      <w:r w:rsidR="00663DAA">
        <w:t>1) agree on program organization and process</w:t>
      </w:r>
      <w:r w:rsidR="00413274">
        <w:t>;</w:t>
      </w:r>
      <w:r w:rsidR="00663DAA">
        <w:t xml:space="preserve"> 2) </w:t>
      </w:r>
      <w:r w:rsidR="00C64CDE">
        <w:t>vet</w:t>
      </w:r>
      <w:r w:rsidR="00663DAA">
        <w:t xml:space="preserve"> drafts of the Nutrient Strategy</w:t>
      </w:r>
      <w:r w:rsidR="00413274">
        <w:t>;</w:t>
      </w:r>
      <w:r w:rsidR="00663DAA">
        <w:t xml:space="preserve"> and 3) </w:t>
      </w:r>
      <w:r w:rsidR="005316FB">
        <w:t xml:space="preserve">provide feedback and review of scopes of work, </w:t>
      </w:r>
      <w:r w:rsidR="00A66913">
        <w:t xml:space="preserve">priorities, </w:t>
      </w:r>
      <w:r w:rsidR="005316FB">
        <w:t>interim milestones and final products associated with specific work elements of the Strategy</w:t>
      </w:r>
    </w:p>
    <w:p w:rsidR="000F0556" w:rsidRDefault="000F0556" w:rsidP="00E167B9"/>
    <w:p w:rsidR="000F0556" w:rsidRPr="005401AA" w:rsidRDefault="000F0556" w:rsidP="000F0556">
      <w:pPr>
        <w:spacing w:after="120"/>
      </w:pPr>
      <w:r>
        <w:t>SFEI/ASC will work with RB2, as requested, to ensure that documents, including agendas, meeting minutes and reports, will be made available to RB2 staff in a timely fashion so they can be posted on RB2’s website.</w:t>
      </w:r>
    </w:p>
    <w:p w:rsidR="00C8776F" w:rsidRDefault="00C8776F" w:rsidP="00E167B9"/>
    <w:p w:rsidR="00324B61" w:rsidRDefault="00DA6B0F" w:rsidP="00E167B9">
      <w:r>
        <w:rPr>
          <w:i/>
        </w:rPr>
        <w:t>Subt</w:t>
      </w:r>
      <w:r w:rsidR="005316FB" w:rsidRPr="00324B61">
        <w:rPr>
          <w:i/>
        </w:rPr>
        <w:t xml:space="preserve">ask </w:t>
      </w:r>
      <w:r>
        <w:rPr>
          <w:i/>
        </w:rPr>
        <w:t>2</w:t>
      </w:r>
      <w:r w:rsidR="00324B61">
        <w:rPr>
          <w:i/>
        </w:rPr>
        <w:t>.</w:t>
      </w:r>
      <w:r w:rsidR="005316FB" w:rsidRPr="00324B61">
        <w:rPr>
          <w:i/>
        </w:rPr>
        <w:t>1 Deliverables</w:t>
      </w:r>
      <w:r w:rsidR="005316FB">
        <w:t xml:space="preserve">: </w:t>
      </w:r>
    </w:p>
    <w:p w:rsidR="00663DAA" w:rsidRDefault="00DA6B0F" w:rsidP="00C8776F">
      <w:r>
        <w:t>2</w:t>
      </w:r>
      <w:r w:rsidR="00C8776F">
        <w:t>.</w:t>
      </w:r>
      <w:r w:rsidR="001512D9">
        <w:t>1.1</w:t>
      </w:r>
      <w:r w:rsidR="005316FB">
        <w:t xml:space="preserve"> meeting agenda</w:t>
      </w:r>
      <w:r w:rsidR="00413274">
        <w:t>,</w:t>
      </w:r>
      <w:r w:rsidR="005316FB">
        <w:t xml:space="preserve"> powerpoint presentations and meeting summaries</w:t>
      </w:r>
    </w:p>
    <w:p w:rsidR="00C8776F" w:rsidRDefault="00C8776F" w:rsidP="00804DEB">
      <w:pPr>
        <w:spacing w:after="120"/>
        <w:rPr>
          <w:b/>
        </w:rPr>
      </w:pPr>
    </w:p>
    <w:p w:rsidR="005316FB" w:rsidRPr="00034ECA" w:rsidRDefault="00DA6B0F" w:rsidP="00804DEB">
      <w:pPr>
        <w:spacing w:after="120"/>
        <w:rPr>
          <w:b/>
          <w:i/>
        </w:rPr>
      </w:pPr>
      <w:r>
        <w:rPr>
          <w:b/>
          <w:i/>
        </w:rPr>
        <w:lastRenderedPageBreak/>
        <w:t>Subt</w:t>
      </w:r>
      <w:r w:rsidRPr="00034ECA">
        <w:rPr>
          <w:b/>
          <w:i/>
        </w:rPr>
        <w:t xml:space="preserve">ask </w:t>
      </w:r>
      <w:r>
        <w:rPr>
          <w:b/>
          <w:i/>
        </w:rPr>
        <w:t>2</w:t>
      </w:r>
      <w:r w:rsidR="00324B61" w:rsidRPr="00034ECA">
        <w:rPr>
          <w:b/>
          <w:i/>
        </w:rPr>
        <w:t>.</w:t>
      </w:r>
      <w:r w:rsidR="005316FB" w:rsidRPr="00034ECA">
        <w:rPr>
          <w:b/>
          <w:i/>
        </w:rPr>
        <w:t>2 Produce a Nutrient Strategy</w:t>
      </w:r>
    </w:p>
    <w:p w:rsidR="005401AA" w:rsidRDefault="005316FB" w:rsidP="00804DEB">
      <w:pPr>
        <w:spacing w:after="120"/>
      </w:pPr>
      <w:r>
        <w:t xml:space="preserve">The purpose of this subtask is to produce </w:t>
      </w:r>
      <w:r w:rsidR="00EA2028">
        <w:t>a</w:t>
      </w:r>
      <w:r>
        <w:t xml:space="preserve"> final Nutrient Strategy.  </w:t>
      </w:r>
      <w:r w:rsidR="009245ED">
        <w:t>The</w:t>
      </w:r>
      <w:r w:rsidR="00C64CDE">
        <w:t xml:space="preserve"> initial draft</w:t>
      </w:r>
      <w:r w:rsidR="009245ED">
        <w:t xml:space="preserve"> nutrient strategy (</w:t>
      </w:r>
      <w:r w:rsidR="00C64CDE">
        <w:t xml:space="preserve">from </w:t>
      </w:r>
      <w:r w:rsidR="009245ED">
        <w:t xml:space="preserve">September 2011) will serve as the baseline document for further strategy development. </w:t>
      </w:r>
      <w:r w:rsidR="00000015">
        <w:t xml:space="preserve"> The nutrient strategy will describe management questions and goals, major work elements that address those questions/goals, tasks within each work element, and work plans or scopes of work.  To the extent possible, a draft funding strategy will also be developed. </w:t>
      </w:r>
      <w:r w:rsidR="00A66913">
        <w:t xml:space="preserve"> W</w:t>
      </w:r>
      <w:r>
        <w:t>orking drafts will be reviewed by</w:t>
      </w:r>
      <w:r w:rsidR="009A207D">
        <w:t xml:space="preserve"> the stakeholder advisory group</w:t>
      </w:r>
      <w:r>
        <w:t>. Based on feedback, a final nutrient strategy will be delivered. This "final"</w:t>
      </w:r>
      <w:r w:rsidR="000F0556">
        <w:t xml:space="preserve"> </w:t>
      </w:r>
      <w:r>
        <w:t>nutrient strategy should be consider</w:t>
      </w:r>
      <w:r w:rsidR="00CC1322">
        <w:t>ed</w:t>
      </w:r>
      <w:r>
        <w:t xml:space="preserve"> a living document, in that it will need to be periodically updated. This subtask does not cover those subsequent updates. </w:t>
      </w:r>
    </w:p>
    <w:p w:rsidR="005316FB" w:rsidRDefault="00DA6B0F" w:rsidP="008A1F47">
      <w:r>
        <w:rPr>
          <w:i/>
        </w:rPr>
        <w:t>Subt</w:t>
      </w:r>
      <w:r w:rsidR="005316FB" w:rsidRPr="00324B61">
        <w:rPr>
          <w:i/>
        </w:rPr>
        <w:t xml:space="preserve">ask </w:t>
      </w:r>
      <w:r>
        <w:rPr>
          <w:i/>
        </w:rPr>
        <w:t>2</w:t>
      </w:r>
      <w:r w:rsidR="005230C1">
        <w:rPr>
          <w:i/>
        </w:rPr>
        <w:t>.</w:t>
      </w:r>
      <w:r w:rsidR="005316FB" w:rsidRPr="00324B61">
        <w:rPr>
          <w:i/>
        </w:rPr>
        <w:t xml:space="preserve">2 Deliverables: </w:t>
      </w:r>
    </w:p>
    <w:p w:rsidR="005316FB" w:rsidRDefault="00DA6B0F" w:rsidP="008A1F47">
      <w:r>
        <w:t>2</w:t>
      </w:r>
      <w:r w:rsidR="005316FB">
        <w:t>.2.</w:t>
      </w:r>
      <w:r w:rsidR="00895454">
        <w:t>1</w:t>
      </w:r>
      <w:r w:rsidR="005316FB">
        <w:t xml:space="preserve"> Final nutrient strategy</w:t>
      </w:r>
      <w:r w:rsidR="001714FE">
        <w:t xml:space="preserve"> (November 2012)</w:t>
      </w:r>
    </w:p>
    <w:p w:rsidR="008A1F47" w:rsidRDefault="008A1F47" w:rsidP="00804DEB">
      <w:pPr>
        <w:spacing w:after="120"/>
        <w:rPr>
          <w:b/>
          <w:i/>
        </w:rPr>
      </w:pPr>
    </w:p>
    <w:p w:rsidR="005316FB" w:rsidRPr="00034ECA" w:rsidRDefault="007C2830" w:rsidP="00804DEB">
      <w:pPr>
        <w:spacing w:after="120"/>
        <w:rPr>
          <w:i/>
        </w:rPr>
      </w:pPr>
      <w:r>
        <w:rPr>
          <w:b/>
          <w:i/>
        </w:rPr>
        <w:t>Subt</w:t>
      </w:r>
      <w:r w:rsidRPr="00034ECA">
        <w:rPr>
          <w:b/>
          <w:i/>
        </w:rPr>
        <w:t xml:space="preserve">ask </w:t>
      </w:r>
      <w:r w:rsidR="00DA6B0F">
        <w:rPr>
          <w:b/>
          <w:i/>
        </w:rPr>
        <w:t>2</w:t>
      </w:r>
      <w:r w:rsidR="00B808CA" w:rsidRPr="00034ECA">
        <w:rPr>
          <w:b/>
          <w:i/>
        </w:rPr>
        <w:t>.</w:t>
      </w:r>
      <w:r w:rsidR="005316FB" w:rsidRPr="00034ECA">
        <w:rPr>
          <w:b/>
          <w:i/>
        </w:rPr>
        <w:t xml:space="preserve">3 Stakeholder Outreach and </w:t>
      </w:r>
      <w:r w:rsidR="00E43264">
        <w:rPr>
          <w:b/>
          <w:i/>
        </w:rPr>
        <w:t>Coordination</w:t>
      </w:r>
    </w:p>
    <w:p w:rsidR="00F2489A" w:rsidRPr="006B50EC" w:rsidRDefault="005316FB" w:rsidP="00804DEB">
      <w:pPr>
        <w:spacing w:after="120"/>
      </w:pPr>
      <w:r>
        <w:t>The purpose of this task is to conduct stakeholder outreach and communication to improve coordination and provide a clearinghouse for the dissemination of information. Two types of activities will be undertaken</w:t>
      </w:r>
      <w:r w:rsidR="00DA6B0F">
        <w:t>.  First</w:t>
      </w:r>
      <w:r w:rsidR="007C2830">
        <w:t>,</w:t>
      </w:r>
      <w:r w:rsidR="00DA6B0F">
        <w:t xml:space="preserve"> </w:t>
      </w:r>
      <w:r w:rsidR="00E84790">
        <w:t>meetings</w:t>
      </w:r>
      <w:r w:rsidR="00DA6B0F">
        <w:t xml:space="preserve"> with relevant individuals or groups - such as program managers (e.g., IEP), stakeholder groups, or Water Board staff - will be held</w:t>
      </w:r>
      <w:r w:rsidR="00DA6B0F" w:rsidRPr="00CF6D14">
        <w:t xml:space="preserve"> to identify priority projects</w:t>
      </w:r>
      <w:r w:rsidR="00DA6B0F">
        <w:t xml:space="preserve">, develop approaches to coordinate efforts, </w:t>
      </w:r>
      <w:r w:rsidR="00DA6B0F" w:rsidRPr="00CF6D14">
        <w:t>and strategize fund</w:t>
      </w:r>
      <w:r w:rsidR="007C2830">
        <w:t>ing</w:t>
      </w:r>
      <w:r w:rsidR="00DA6B0F" w:rsidRPr="00CF6D14">
        <w:t xml:space="preserve"> </w:t>
      </w:r>
      <w:r w:rsidR="00E43264">
        <w:t>sources</w:t>
      </w:r>
      <w:r w:rsidR="00DA6B0F">
        <w:t xml:space="preserve">. Second, </w:t>
      </w:r>
      <w:r w:rsidR="00E84790">
        <w:t xml:space="preserve">a website </w:t>
      </w:r>
      <w:r w:rsidR="00DA6B0F">
        <w:t>and related listserv</w:t>
      </w:r>
      <w:r w:rsidR="00DA6B0F" w:rsidDel="00DA6B0F">
        <w:t xml:space="preserve"> </w:t>
      </w:r>
      <w:r w:rsidR="00DA6B0F">
        <w:t xml:space="preserve">will be created to </w:t>
      </w:r>
      <w:r w:rsidR="00DC0C74">
        <w:t>serve as a clearinghouse for information (news, downloadable reports, links to related websites, calendar)</w:t>
      </w:r>
      <w:r w:rsidR="00DA6B0F">
        <w:t>.</w:t>
      </w:r>
      <w:r w:rsidR="00E84790" w:rsidDel="00E84790">
        <w:t xml:space="preserve"> </w:t>
      </w:r>
      <w:r w:rsidR="00180E1F">
        <w:t xml:space="preserve"> </w:t>
      </w:r>
      <w:r w:rsidR="00F04606">
        <w:t xml:space="preserve">The website will be updated </w:t>
      </w:r>
      <w:r w:rsidR="00037EC6">
        <w:t>based on feedback</w:t>
      </w:r>
      <w:r w:rsidR="00895454">
        <w:t xml:space="preserve"> from stakeholders</w:t>
      </w:r>
      <w:r w:rsidR="00037EC6">
        <w:t xml:space="preserve">, and </w:t>
      </w:r>
      <w:r w:rsidR="00F04606">
        <w:t>as needed with news, calenda</w:t>
      </w:r>
      <w:r w:rsidR="008A1F47">
        <w:t>r additions, and key documents. Reports, scientific literature, and updates from nutrient work in other estuaries will be updated periodically (quarterly</w:t>
      </w:r>
      <w:r w:rsidR="00037EC6">
        <w:t>).</w:t>
      </w:r>
    </w:p>
    <w:p w:rsidR="00180E1F" w:rsidRPr="005230C1" w:rsidRDefault="007C2830" w:rsidP="008A1F47">
      <w:pPr>
        <w:rPr>
          <w:i/>
        </w:rPr>
      </w:pPr>
      <w:r>
        <w:rPr>
          <w:i/>
        </w:rPr>
        <w:t>Subt</w:t>
      </w:r>
      <w:r w:rsidR="00180E1F" w:rsidRPr="005230C1">
        <w:rPr>
          <w:i/>
        </w:rPr>
        <w:t xml:space="preserve">ask </w:t>
      </w:r>
      <w:r>
        <w:rPr>
          <w:i/>
        </w:rPr>
        <w:t>2</w:t>
      </w:r>
      <w:r w:rsidR="00180E1F" w:rsidRPr="005230C1">
        <w:rPr>
          <w:i/>
        </w:rPr>
        <w:t>.3 Deliverables:</w:t>
      </w:r>
    </w:p>
    <w:p w:rsidR="00F04606" w:rsidRDefault="007C2830" w:rsidP="008A1F47">
      <w:r>
        <w:t>2</w:t>
      </w:r>
      <w:r w:rsidR="00F04606">
        <w:t>.3.1</w:t>
      </w:r>
      <w:r w:rsidR="00180E1F">
        <w:t xml:space="preserve"> </w:t>
      </w:r>
      <w:r w:rsidR="00180E1F">
        <w:tab/>
        <w:t xml:space="preserve">SF Bay </w:t>
      </w:r>
      <w:r w:rsidR="00F04606">
        <w:t xml:space="preserve">Nutrient </w:t>
      </w:r>
      <w:r w:rsidR="00180E1F">
        <w:t>Website</w:t>
      </w:r>
      <w:r w:rsidR="001714FE">
        <w:t xml:space="preserve"> (April 2012)</w:t>
      </w:r>
    </w:p>
    <w:p w:rsidR="00037EC6" w:rsidRDefault="00037EC6" w:rsidP="00F919CD">
      <w:pPr>
        <w:pStyle w:val="Heading2"/>
        <w:spacing w:before="0" w:after="120"/>
        <w:rPr>
          <w:rFonts w:asciiTheme="minorHAnsi" w:hAnsiTheme="minorHAnsi"/>
          <w:i w:val="0"/>
          <w:sz w:val="24"/>
        </w:rPr>
      </w:pPr>
    </w:p>
    <w:p w:rsidR="00F919CD" w:rsidRPr="001F6AAF" w:rsidRDefault="00180E1F" w:rsidP="00F919CD">
      <w:pPr>
        <w:pStyle w:val="Heading2"/>
        <w:spacing w:before="0" w:after="120"/>
        <w:rPr>
          <w:rFonts w:asciiTheme="minorHAnsi" w:hAnsiTheme="minorHAnsi"/>
          <w:i w:val="0"/>
          <w:sz w:val="24"/>
        </w:rPr>
      </w:pPr>
      <w:r w:rsidRPr="001F6AAF">
        <w:rPr>
          <w:rFonts w:asciiTheme="minorHAnsi" w:hAnsiTheme="minorHAnsi"/>
          <w:i w:val="0"/>
          <w:sz w:val="24"/>
        </w:rPr>
        <w:t xml:space="preserve">Task </w:t>
      </w:r>
      <w:r w:rsidR="00610548">
        <w:rPr>
          <w:rFonts w:asciiTheme="minorHAnsi" w:hAnsiTheme="minorHAnsi"/>
          <w:i w:val="0"/>
          <w:sz w:val="24"/>
        </w:rPr>
        <w:t>3</w:t>
      </w:r>
      <w:r w:rsidR="00723662" w:rsidRPr="001F6AAF">
        <w:rPr>
          <w:rFonts w:asciiTheme="minorHAnsi" w:hAnsiTheme="minorHAnsi"/>
          <w:i w:val="0"/>
          <w:sz w:val="24"/>
        </w:rPr>
        <w:t xml:space="preserve">: </w:t>
      </w:r>
      <w:r w:rsidR="00E60AC6">
        <w:rPr>
          <w:rFonts w:asciiTheme="minorHAnsi" w:hAnsiTheme="minorHAnsi"/>
          <w:i w:val="0"/>
          <w:sz w:val="24"/>
        </w:rPr>
        <w:t>Numeric</w:t>
      </w:r>
      <w:r w:rsidR="0058073E">
        <w:rPr>
          <w:rFonts w:asciiTheme="minorHAnsi" w:hAnsiTheme="minorHAnsi"/>
          <w:i w:val="0"/>
          <w:sz w:val="24"/>
        </w:rPr>
        <w:t xml:space="preserve"> m</w:t>
      </w:r>
      <w:r w:rsidR="008B38EA" w:rsidRPr="001F6AAF">
        <w:rPr>
          <w:rFonts w:asciiTheme="minorHAnsi" w:hAnsiTheme="minorHAnsi"/>
          <w:i w:val="0"/>
          <w:sz w:val="24"/>
        </w:rPr>
        <w:t xml:space="preserve">odels and </w:t>
      </w:r>
      <w:r w:rsidR="002053C0">
        <w:rPr>
          <w:rFonts w:asciiTheme="minorHAnsi" w:hAnsiTheme="minorHAnsi"/>
          <w:i w:val="0"/>
          <w:sz w:val="24"/>
        </w:rPr>
        <w:t>b</w:t>
      </w:r>
      <w:r w:rsidR="008B38EA" w:rsidRPr="001F6AAF">
        <w:rPr>
          <w:rFonts w:asciiTheme="minorHAnsi" w:hAnsiTheme="minorHAnsi"/>
          <w:i w:val="0"/>
          <w:sz w:val="24"/>
        </w:rPr>
        <w:t>udgets</w:t>
      </w:r>
      <w:r w:rsidR="00DA6B0F">
        <w:rPr>
          <w:rFonts w:asciiTheme="minorHAnsi" w:hAnsiTheme="minorHAnsi"/>
          <w:i w:val="0"/>
          <w:sz w:val="24"/>
        </w:rPr>
        <w:t xml:space="preserve">: </w:t>
      </w:r>
      <w:r w:rsidR="008B38EA" w:rsidRPr="001F6AAF">
        <w:rPr>
          <w:rFonts w:asciiTheme="minorHAnsi" w:hAnsiTheme="minorHAnsi"/>
          <w:i w:val="0"/>
          <w:sz w:val="24"/>
        </w:rPr>
        <w:t xml:space="preserve">Suisun Bay and South Bay </w:t>
      </w:r>
    </w:p>
    <w:p w:rsidR="000E16E5" w:rsidRDefault="00180E1F" w:rsidP="000E16E5">
      <w:pPr>
        <w:spacing w:after="120"/>
      </w:pPr>
      <w:r>
        <w:t xml:space="preserve">The purpose of this task is to </w:t>
      </w:r>
      <w:r w:rsidR="00B808CA">
        <w:t xml:space="preserve">develop and apply </w:t>
      </w:r>
      <w:r w:rsidR="000B13E2">
        <w:t xml:space="preserve">numeric biogeochemical </w:t>
      </w:r>
      <w:r w:rsidR="00271588">
        <w:t xml:space="preserve">models for </w:t>
      </w:r>
      <w:r w:rsidR="006C3993">
        <w:t>Suisun Bay and South Bay</w:t>
      </w:r>
      <w:r w:rsidR="000E16E5">
        <w:t>.</w:t>
      </w:r>
      <w:r w:rsidR="006C3993">
        <w:t xml:space="preserve"> </w:t>
      </w:r>
      <w:r w:rsidR="000E16E5">
        <w:t xml:space="preserve">The overall goal of this work is to serve as an early step in modeling efforts to inform future model development and data collection. </w:t>
      </w:r>
    </w:p>
    <w:p w:rsidR="00133DDB" w:rsidRDefault="000E16E5">
      <w:pPr>
        <w:spacing w:after="120"/>
        <w:rPr>
          <w:bCs/>
          <w:iCs/>
          <w:szCs w:val="20"/>
        </w:rPr>
      </w:pPr>
      <w:r>
        <w:t xml:space="preserve">The models will be used to quantitatively synthesize existing data; develop nutrient budgets; support evaluation of proposed indicators as part of the NNE; test appropriate management endpoints; determine how key processes should be modeled and assess the relative importance of and uncertainty related to those processes; and identifying major data gaps at an early stage to inform the monitoring program and the need for special studies.  </w:t>
      </w:r>
      <w:r w:rsidR="00FC1CEC">
        <w:rPr>
          <w:bCs/>
          <w:iCs/>
          <w:szCs w:val="20"/>
        </w:rPr>
        <w:t xml:space="preserve">This work </w:t>
      </w:r>
      <w:r w:rsidR="00271588">
        <w:rPr>
          <w:bCs/>
          <w:iCs/>
          <w:szCs w:val="20"/>
        </w:rPr>
        <w:t xml:space="preserve">will </w:t>
      </w:r>
      <w:r w:rsidR="0051209A">
        <w:rPr>
          <w:bCs/>
          <w:iCs/>
          <w:szCs w:val="20"/>
        </w:rPr>
        <w:t xml:space="preserve">include </w:t>
      </w:r>
      <w:r w:rsidR="0051209A">
        <w:rPr>
          <w:bCs/>
          <w:iCs/>
          <w:szCs w:val="20"/>
        </w:rPr>
        <w:lastRenderedPageBreak/>
        <w:t>consideration of</w:t>
      </w:r>
      <w:r w:rsidR="00271588">
        <w:rPr>
          <w:bCs/>
          <w:iCs/>
          <w:szCs w:val="20"/>
        </w:rPr>
        <w:t xml:space="preserve"> models that </w:t>
      </w:r>
      <w:r w:rsidR="00037EC6">
        <w:rPr>
          <w:bCs/>
          <w:iCs/>
          <w:szCs w:val="20"/>
        </w:rPr>
        <w:t xml:space="preserve">are </w:t>
      </w:r>
      <w:r w:rsidR="00271588">
        <w:rPr>
          <w:bCs/>
          <w:iCs/>
          <w:szCs w:val="20"/>
        </w:rPr>
        <w:t xml:space="preserve">already under development by USGS and SFSU-RTC, and those researchers </w:t>
      </w:r>
      <w:r w:rsidR="006C3993">
        <w:rPr>
          <w:bCs/>
          <w:iCs/>
          <w:szCs w:val="20"/>
        </w:rPr>
        <w:t xml:space="preserve">will be involved as project advisors </w:t>
      </w:r>
      <w:r w:rsidR="00271588">
        <w:rPr>
          <w:bCs/>
          <w:iCs/>
          <w:szCs w:val="20"/>
        </w:rPr>
        <w:t>(USGS: J. Cloern, J. Kuwabara; SF</w:t>
      </w:r>
      <w:r w:rsidR="006C3993">
        <w:rPr>
          <w:bCs/>
          <w:iCs/>
          <w:szCs w:val="20"/>
        </w:rPr>
        <w:t>SU-RTC: R. Dugdale, A. Parker</w:t>
      </w:r>
      <w:r w:rsidR="00E66F3F">
        <w:rPr>
          <w:bCs/>
          <w:iCs/>
          <w:szCs w:val="20"/>
        </w:rPr>
        <w:t>, F. Wilkerson</w:t>
      </w:r>
      <w:r w:rsidR="006C3993">
        <w:rPr>
          <w:bCs/>
          <w:iCs/>
          <w:szCs w:val="20"/>
        </w:rPr>
        <w:t xml:space="preserve">). </w:t>
      </w:r>
      <w:r w:rsidR="00FC1CEC">
        <w:rPr>
          <w:bCs/>
          <w:iCs/>
          <w:szCs w:val="20"/>
        </w:rPr>
        <w:t xml:space="preserve">This effort will also include a broader consideration of models being developed and research being conducted nationally. </w:t>
      </w:r>
      <w:r>
        <w:t xml:space="preserve">It should be emphasized that the model(s) developed and used in this task </w:t>
      </w:r>
      <w:r w:rsidRPr="001A5086">
        <w:t>are not</w:t>
      </w:r>
      <w:r w:rsidRPr="00CC3C90">
        <w:rPr>
          <w:u w:val="single"/>
        </w:rPr>
        <w:t xml:space="preserve"> </w:t>
      </w:r>
      <w:r>
        <w:t>intended to be the final models that may ultimately be required for the Bay, which may be more complex and computationally intensive, but rather as scoping tools.</w:t>
      </w:r>
    </w:p>
    <w:p w:rsidR="00133DDB" w:rsidRDefault="00271588">
      <w:pPr>
        <w:spacing w:after="120"/>
      </w:pPr>
      <w:r>
        <w:rPr>
          <w:bCs/>
          <w:iCs/>
          <w:szCs w:val="20"/>
        </w:rPr>
        <w:t xml:space="preserve">This is a </w:t>
      </w:r>
      <w:r>
        <w:t xml:space="preserve">2-year project, beginning </w:t>
      </w:r>
      <w:r w:rsidR="008A3E99">
        <w:t>in the third quarter of</w:t>
      </w:r>
      <w:r>
        <w:t xml:space="preserve"> 2012.</w:t>
      </w:r>
      <w:r w:rsidR="00F42BD1">
        <w:t xml:space="preserve"> F</w:t>
      </w:r>
      <w:r w:rsidR="00F70F04">
        <w:t xml:space="preserve">unds are being requested </w:t>
      </w:r>
      <w:r w:rsidR="00F42BD1">
        <w:t>to support modeling activities beginning in</w:t>
      </w:r>
      <w:r w:rsidR="00F70F04">
        <w:t xml:space="preserve"> 2012, and there is the</w:t>
      </w:r>
      <w:r w:rsidR="003678B4">
        <w:t xml:space="preserve"> expectation that funding will be continued through </w:t>
      </w:r>
      <w:r w:rsidR="00F42BD1">
        <w:t>the first half of 2014.</w:t>
      </w:r>
    </w:p>
    <w:p w:rsidR="00295FF9" w:rsidRDefault="009A18FB" w:rsidP="00E05F0C">
      <w:pPr>
        <w:spacing w:after="120"/>
      </w:pPr>
      <w:r>
        <w:t xml:space="preserve">A </w:t>
      </w:r>
      <w:r w:rsidR="0049393D">
        <w:t xml:space="preserve">technical </w:t>
      </w:r>
      <w:r w:rsidR="0050571C">
        <w:t>advisory</w:t>
      </w:r>
      <w:r w:rsidR="0049393D">
        <w:t xml:space="preserve"> group </w:t>
      </w:r>
      <w:r>
        <w:t xml:space="preserve">consisting of regional and national experts will be convened to develop a </w:t>
      </w:r>
      <w:r w:rsidR="00E05F0C">
        <w:t xml:space="preserve">modeling </w:t>
      </w:r>
      <w:r>
        <w:t>study plan</w:t>
      </w:r>
      <w:r w:rsidR="00E05F0C">
        <w:t xml:space="preserve">. A key task of </w:t>
      </w:r>
      <w:r w:rsidR="0049393D">
        <w:t>this group</w:t>
      </w:r>
      <w:r w:rsidR="00E05F0C">
        <w:t xml:space="preserve"> will be to identify the main questions to be addressed through the modeling work, approaches for incorporating key processes into the model, and the appropriate model platform(s).</w:t>
      </w:r>
      <w:r w:rsidR="003678B4">
        <w:t xml:space="preserve"> </w:t>
      </w:r>
    </w:p>
    <w:p w:rsidR="00180E1F" w:rsidRDefault="00180E1F" w:rsidP="00E627A3">
      <w:pPr>
        <w:spacing w:after="120"/>
      </w:pPr>
      <w:r>
        <w:t>This task has three subtask</w:t>
      </w:r>
      <w:r w:rsidR="00B808CA">
        <w:t>s</w:t>
      </w:r>
      <w:r>
        <w:t xml:space="preserve"> associated with it: 1) develop a study plan, 2) compile existing data and evaluate data quality, 3) develop simple box models</w:t>
      </w:r>
      <w:r w:rsidR="00DF1C76">
        <w:t>, and 4) utilize the simple box models to test scenarios</w:t>
      </w:r>
      <w:r w:rsidR="00090611">
        <w:t>.</w:t>
      </w:r>
    </w:p>
    <w:p w:rsidR="00DF1C76" w:rsidRPr="001F6AAF" w:rsidRDefault="00DF1C76" w:rsidP="00E627A3">
      <w:pPr>
        <w:spacing w:after="120"/>
        <w:rPr>
          <w:b/>
          <w:i/>
        </w:rPr>
      </w:pPr>
      <w:r w:rsidRPr="001F6AAF">
        <w:rPr>
          <w:b/>
          <w:i/>
        </w:rPr>
        <w:t xml:space="preserve">Task </w:t>
      </w:r>
      <w:r w:rsidR="00610548">
        <w:rPr>
          <w:b/>
          <w:i/>
        </w:rPr>
        <w:t>3</w:t>
      </w:r>
      <w:r w:rsidRPr="001F6AAF">
        <w:rPr>
          <w:b/>
          <w:i/>
        </w:rPr>
        <w:t xml:space="preserve">.1 Develop a </w:t>
      </w:r>
      <w:r w:rsidR="00E41308">
        <w:rPr>
          <w:b/>
          <w:i/>
        </w:rPr>
        <w:t xml:space="preserve">modeling </w:t>
      </w:r>
      <w:r w:rsidRPr="001F6AAF">
        <w:rPr>
          <w:b/>
          <w:i/>
        </w:rPr>
        <w:t>study plan</w:t>
      </w:r>
    </w:p>
    <w:p w:rsidR="00171EAC" w:rsidRPr="0050571C" w:rsidRDefault="00DF1C76" w:rsidP="0050571C">
      <w:pPr>
        <w:spacing w:after="120"/>
      </w:pPr>
      <w:r>
        <w:t xml:space="preserve">The purpose of this task is to develop a draft and final study plan for the project. The draft study plan will be </w:t>
      </w:r>
      <w:r w:rsidR="00B808CA">
        <w:t xml:space="preserve">developed in cooperation with a team of technical advisors and </w:t>
      </w:r>
      <w:r>
        <w:t xml:space="preserve">presented to the stakeholder advisory group for review and feedback. </w:t>
      </w:r>
      <w:r w:rsidR="00921E45">
        <w:t>Options for model structure range from 1-2 boxes per Bay segment up to</w:t>
      </w:r>
      <w:r w:rsidR="001F5935">
        <w:t xml:space="preserve"> coupling a biogeochemical model with an existing</w:t>
      </w:r>
      <w:r w:rsidR="00921E45">
        <w:t xml:space="preserve"> </w:t>
      </w:r>
      <w:r w:rsidR="001F5935">
        <w:t>2-D hydrodynamic model within each segment</w:t>
      </w:r>
      <w:r w:rsidR="00921E45">
        <w:t xml:space="preserve"> (e.g., Uncles-Peterson model). The ultimate choice for model structure will be determined by the level of detail needed to address the main study questions and sufficiently capture physical forcings (tides, flow, salinity), and what is feasible within the constraints of time and budget.</w:t>
      </w:r>
      <w:r w:rsidR="0012492B">
        <w:t xml:space="preserve"> </w:t>
      </w:r>
      <w:r>
        <w:t>The final study plan will reflect suggested changes to the study plan</w:t>
      </w:r>
      <w:r w:rsidR="0012492B">
        <w:t xml:space="preserve"> </w:t>
      </w:r>
      <w:r w:rsidR="00FA6395">
        <w:t>from</w:t>
      </w:r>
      <w:r w:rsidR="0012492B">
        <w:t xml:space="preserve"> stakeholder</w:t>
      </w:r>
      <w:r w:rsidR="00FA6395">
        <w:t>s</w:t>
      </w:r>
      <w:r w:rsidR="0012492B">
        <w:t xml:space="preserve"> input</w:t>
      </w:r>
      <w:r>
        <w:t xml:space="preserve">, if </w:t>
      </w:r>
      <w:r w:rsidR="00671A3C">
        <w:t>necessary</w:t>
      </w:r>
      <w:r w:rsidR="00962020">
        <w:t xml:space="preserve"> and feasible</w:t>
      </w:r>
      <w:r w:rsidR="003678B4">
        <w:t>.</w:t>
      </w:r>
    </w:p>
    <w:p w:rsidR="00DF1C76" w:rsidRDefault="00DF1C76" w:rsidP="008A1F47">
      <w:r w:rsidRPr="005230C1">
        <w:rPr>
          <w:i/>
        </w:rPr>
        <w:t xml:space="preserve">Task </w:t>
      </w:r>
      <w:r w:rsidR="00610548">
        <w:rPr>
          <w:i/>
        </w:rPr>
        <w:t>3</w:t>
      </w:r>
      <w:r w:rsidRPr="005230C1">
        <w:rPr>
          <w:i/>
        </w:rPr>
        <w:t>.1 Deliverables</w:t>
      </w:r>
      <w:r w:rsidR="00B808CA">
        <w:t>:</w:t>
      </w:r>
    </w:p>
    <w:p w:rsidR="00DF1C76" w:rsidRDefault="00610548" w:rsidP="008A1F47">
      <w:r>
        <w:t>3</w:t>
      </w:r>
      <w:r w:rsidR="00DF1C76">
        <w:t>.1.</w:t>
      </w:r>
      <w:r w:rsidR="003678B4">
        <w:t xml:space="preserve">1 </w:t>
      </w:r>
      <w:r w:rsidR="001D0C41">
        <w:t xml:space="preserve">Draft and final </w:t>
      </w:r>
      <w:r w:rsidR="00E41308">
        <w:t xml:space="preserve">modeling </w:t>
      </w:r>
      <w:r w:rsidR="00DF1C76">
        <w:t>study plan</w:t>
      </w:r>
      <w:r w:rsidR="001714FE">
        <w:t xml:space="preserve"> (June 2012)</w:t>
      </w:r>
    </w:p>
    <w:p w:rsidR="00DF7B6E" w:rsidRDefault="00DF7B6E" w:rsidP="00E627A3">
      <w:pPr>
        <w:spacing w:after="120"/>
        <w:rPr>
          <w:b/>
          <w:i/>
        </w:rPr>
      </w:pPr>
    </w:p>
    <w:p w:rsidR="00DF1C76" w:rsidRPr="0008130C" w:rsidRDefault="00C52051" w:rsidP="00E627A3">
      <w:pPr>
        <w:spacing w:after="120"/>
        <w:rPr>
          <w:b/>
          <w:i/>
        </w:rPr>
      </w:pPr>
      <w:r>
        <w:rPr>
          <w:b/>
          <w:i/>
        </w:rPr>
        <w:br w:type="column"/>
      </w:r>
      <w:r w:rsidR="00DF1C76" w:rsidRPr="0008130C">
        <w:rPr>
          <w:b/>
          <w:i/>
        </w:rPr>
        <w:lastRenderedPageBreak/>
        <w:t xml:space="preserve">Task </w:t>
      </w:r>
      <w:r w:rsidR="00610548">
        <w:rPr>
          <w:b/>
          <w:i/>
        </w:rPr>
        <w:t>3</w:t>
      </w:r>
      <w:r w:rsidR="00DF1C76" w:rsidRPr="0008130C">
        <w:rPr>
          <w:b/>
          <w:i/>
        </w:rPr>
        <w:t>.2 Compile existing data</w:t>
      </w:r>
    </w:p>
    <w:p w:rsidR="00DF1C76" w:rsidRDefault="00DF1C76" w:rsidP="00E627A3">
      <w:pPr>
        <w:spacing w:after="120"/>
      </w:pPr>
      <w:r>
        <w:t>The purpose of this task is to compile data required for modeling exercises, evaluate data quality</w:t>
      </w:r>
      <w:r w:rsidR="00962020">
        <w:t>,</w:t>
      </w:r>
      <w:r>
        <w:t xml:space="preserve"> and house data in a </w:t>
      </w:r>
      <w:r w:rsidR="00DB3055">
        <w:t xml:space="preserve">project </w:t>
      </w:r>
      <w:r>
        <w:t>database.  Data to be compiled will be enumerated in the final study plan</w:t>
      </w:r>
      <w:r w:rsidR="0050571C">
        <w:t xml:space="preserve">. Some data is already available (e.g., from USGS, IEP, etc.) and can be </w:t>
      </w:r>
      <w:r w:rsidR="001714FE">
        <w:t xml:space="preserve">readily </w:t>
      </w:r>
      <w:r w:rsidR="0050571C">
        <w:t>assembled within the first several months of the project. However other data will needed to be incorporated in an on-going manner</w:t>
      </w:r>
      <w:r w:rsidR="001714FE">
        <w:t xml:space="preserve"> as it is acquired</w:t>
      </w:r>
      <w:r w:rsidR="0050571C">
        <w:t xml:space="preserve">: for example, new and historic </w:t>
      </w:r>
      <w:r w:rsidR="00171EAC">
        <w:t xml:space="preserve">POTW </w:t>
      </w:r>
      <w:r w:rsidR="0050571C">
        <w:t>effluent characterization</w:t>
      </w:r>
      <w:r w:rsidR="00171EAC">
        <w:t xml:space="preserve"> data </w:t>
      </w:r>
      <w:r w:rsidR="0050571C">
        <w:t xml:space="preserve">that </w:t>
      </w:r>
      <w:r w:rsidR="00171EAC">
        <w:t>bec</w:t>
      </w:r>
      <w:r w:rsidR="0050571C">
        <w:t>omes available over the next two years, and other load est</w:t>
      </w:r>
      <w:r w:rsidR="001714FE">
        <w:t>imates developed through an RMP-</w:t>
      </w:r>
      <w:r w:rsidR="0050571C">
        <w:t>funded project that wraps up in second quarter of 2013.</w:t>
      </w:r>
    </w:p>
    <w:p w:rsidR="00DF1C76" w:rsidRPr="00CC1322" w:rsidRDefault="00DF1C76" w:rsidP="008A1F47">
      <w:pPr>
        <w:rPr>
          <w:i/>
        </w:rPr>
      </w:pPr>
      <w:r w:rsidRPr="00CC1322">
        <w:rPr>
          <w:i/>
        </w:rPr>
        <w:t>Task 2.2 Deliverables</w:t>
      </w:r>
      <w:r w:rsidR="00B808CA" w:rsidRPr="00CC1322">
        <w:rPr>
          <w:i/>
        </w:rPr>
        <w:t>:</w:t>
      </w:r>
    </w:p>
    <w:p w:rsidR="00DF1C76" w:rsidRDefault="00962020" w:rsidP="008A1F47">
      <w:r>
        <w:t>3</w:t>
      </w:r>
      <w:r w:rsidR="00DF1C76">
        <w:t xml:space="preserve">.2.1 </w:t>
      </w:r>
      <w:r w:rsidR="001714FE">
        <w:t>Initial e</w:t>
      </w:r>
      <w:r w:rsidR="00DF1C76">
        <w:t>lectronic database of compiled study data</w:t>
      </w:r>
      <w:r w:rsidR="001714FE">
        <w:t xml:space="preserve"> (November 2012)</w:t>
      </w:r>
    </w:p>
    <w:p w:rsidR="00DF1C76" w:rsidRDefault="00DF1C76" w:rsidP="00E627A3">
      <w:pPr>
        <w:spacing w:after="120"/>
      </w:pPr>
    </w:p>
    <w:p w:rsidR="00DF1C76" w:rsidRPr="001F6AAF" w:rsidRDefault="00DF1C76" w:rsidP="00E627A3">
      <w:pPr>
        <w:spacing w:after="120"/>
        <w:rPr>
          <w:b/>
          <w:i/>
        </w:rPr>
      </w:pPr>
      <w:r w:rsidRPr="001F6AAF">
        <w:rPr>
          <w:b/>
          <w:i/>
        </w:rPr>
        <w:t xml:space="preserve">Task </w:t>
      </w:r>
      <w:r w:rsidR="00610548">
        <w:rPr>
          <w:b/>
          <w:i/>
        </w:rPr>
        <w:t>3</w:t>
      </w:r>
      <w:r w:rsidRPr="001F6AAF">
        <w:rPr>
          <w:b/>
          <w:i/>
        </w:rPr>
        <w:t xml:space="preserve">.3 Develop and validate </w:t>
      </w:r>
      <w:r w:rsidR="0049393D">
        <w:rPr>
          <w:b/>
          <w:i/>
        </w:rPr>
        <w:t xml:space="preserve">basic </w:t>
      </w:r>
      <w:r w:rsidR="00F42BD1">
        <w:rPr>
          <w:b/>
          <w:i/>
        </w:rPr>
        <w:t>numeric</w:t>
      </w:r>
      <w:r w:rsidR="003678B4" w:rsidRPr="001F6AAF">
        <w:rPr>
          <w:b/>
          <w:i/>
        </w:rPr>
        <w:t xml:space="preserve"> </w:t>
      </w:r>
      <w:r w:rsidRPr="001F6AAF">
        <w:rPr>
          <w:b/>
          <w:i/>
        </w:rPr>
        <w:t>models</w:t>
      </w:r>
    </w:p>
    <w:p w:rsidR="00DF1C76" w:rsidRDefault="00DF1C76" w:rsidP="00DF1C76">
      <w:pPr>
        <w:spacing w:after="120"/>
      </w:pPr>
      <w:r>
        <w:t xml:space="preserve">The purpose of this task is to develop </w:t>
      </w:r>
      <w:r w:rsidR="0049393D">
        <w:t xml:space="preserve">basic </w:t>
      </w:r>
      <w:r w:rsidR="00171EAC">
        <w:t>numeric</w:t>
      </w:r>
      <w:r w:rsidR="003678B4">
        <w:t xml:space="preserve"> </w:t>
      </w:r>
      <w:r>
        <w:t>models for Suisun and South Bay</w:t>
      </w:r>
      <w:r w:rsidR="003678B4">
        <w:t>, following the direction laid out in Task 3.1</w:t>
      </w:r>
      <w:r>
        <w:t xml:space="preserve"> The focus of this project will be on model development, as well as model calibration and validation. </w:t>
      </w:r>
    </w:p>
    <w:p w:rsidR="00DF1C76" w:rsidRPr="00CC1322" w:rsidRDefault="00DF1C76" w:rsidP="008A1F47">
      <w:pPr>
        <w:rPr>
          <w:i/>
        </w:rPr>
      </w:pPr>
      <w:r w:rsidRPr="00CC1322">
        <w:rPr>
          <w:i/>
        </w:rPr>
        <w:t>Task 2.3 Deliverables include:</w:t>
      </w:r>
    </w:p>
    <w:p w:rsidR="00DF1C76" w:rsidRDefault="00962020" w:rsidP="008A1F47">
      <w:r>
        <w:t>3</w:t>
      </w:r>
      <w:r w:rsidR="00DF1C76">
        <w:t xml:space="preserve">.3.1 </w:t>
      </w:r>
      <w:r w:rsidR="00B45261">
        <w:t>Biannual progress updates</w:t>
      </w:r>
      <w:r w:rsidR="00BF3BBB">
        <w:t xml:space="preserve"> (beginning January 2013)</w:t>
      </w:r>
    </w:p>
    <w:p w:rsidR="00DF1C76" w:rsidRDefault="00962020" w:rsidP="008A1F47">
      <w:r>
        <w:t>3</w:t>
      </w:r>
      <w:r w:rsidR="00DF1C76">
        <w:t>.3.2 Chapter in draft and final technical report on model set up and validation</w:t>
      </w:r>
      <w:r w:rsidR="00A319FD">
        <w:t xml:space="preserve"> (June 2014)</w:t>
      </w:r>
    </w:p>
    <w:p w:rsidR="00DF1C76" w:rsidRDefault="00DF1C76" w:rsidP="00DF1C76">
      <w:pPr>
        <w:spacing w:after="120"/>
      </w:pPr>
    </w:p>
    <w:p w:rsidR="00DF1C76" w:rsidRPr="001F6AAF" w:rsidRDefault="00222C1C" w:rsidP="00E627A3">
      <w:pPr>
        <w:spacing w:after="120"/>
        <w:rPr>
          <w:b/>
          <w:i/>
        </w:rPr>
      </w:pPr>
      <w:r w:rsidRPr="001F6AAF">
        <w:rPr>
          <w:b/>
          <w:i/>
        </w:rPr>
        <w:t xml:space="preserve">Task </w:t>
      </w:r>
      <w:r w:rsidR="00962020">
        <w:rPr>
          <w:b/>
          <w:i/>
        </w:rPr>
        <w:t>3</w:t>
      </w:r>
      <w:r w:rsidRPr="001F6AAF">
        <w:rPr>
          <w:b/>
          <w:i/>
        </w:rPr>
        <w:t xml:space="preserve">.4 Use </w:t>
      </w:r>
      <w:r w:rsidR="0049393D">
        <w:rPr>
          <w:b/>
          <w:i/>
        </w:rPr>
        <w:t xml:space="preserve">of </w:t>
      </w:r>
      <w:r w:rsidR="00F42BD1">
        <w:rPr>
          <w:b/>
          <w:i/>
        </w:rPr>
        <w:t>numeric</w:t>
      </w:r>
      <w:r w:rsidR="003678B4" w:rsidRPr="001F6AAF">
        <w:rPr>
          <w:b/>
          <w:i/>
        </w:rPr>
        <w:t xml:space="preserve"> </w:t>
      </w:r>
      <w:r w:rsidR="00F42BD1">
        <w:rPr>
          <w:b/>
          <w:i/>
        </w:rPr>
        <w:t>m</w:t>
      </w:r>
      <w:r w:rsidRPr="001F6AAF">
        <w:rPr>
          <w:b/>
          <w:i/>
        </w:rPr>
        <w:t xml:space="preserve">odels to </w:t>
      </w:r>
      <w:r w:rsidR="00F42BD1">
        <w:rPr>
          <w:b/>
          <w:i/>
        </w:rPr>
        <w:t>t</w:t>
      </w:r>
      <w:r w:rsidRPr="001F6AAF">
        <w:rPr>
          <w:b/>
          <w:i/>
        </w:rPr>
        <w:t xml:space="preserve">est </w:t>
      </w:r>
      <w:r w:rsidR="00F42BD1">
        <w:rPr>
          <w:b/>
          <w:i/>
        </w:rPr>
        <w:t>s</w:t>
      </w:r>
      <w:r w:rsidRPr="001F6AAF">
        <w:rPr>
          <w:b/>
          <w:i/>
        </w:rPr>
        <w:t>cenarios</w:t>
      </w:r>
    </w:p>
    <w:p w:rsidR="00222C1C" w:rsidRDefault="00222C1C" w:rsidP="00E627A3">
      <w:pPr>
        <w:spacing w:after="120"/>
      </w:pPr>
      <w:r>
        <w:t xml:space="preserve">The purpose of this task is to utilize the </w:t>
      </w:r>
      <w:r w:rsidR="00D245DC">
        <w:t>numeric</w:t>
      </w:r>
      <w:r w:rsidR="00031F79">
        <w:t xml:space="preserve"> </w:t>
      </w:r>
      <w:r>
        <w:t>models to test management or "Bay condition" scenarios. Scenarios to be evaluate</w:t>
      </w:r>
      <w:r w:rsidR="00481F60">
        <w:t>d</w:t>
      </w:r>
      <w:r>
        <w:t xml:space="preserve"> will be identified through the conceptual model work element in the strategy, funded by the R</w:t>
      </w:r>
      <w:r w:rsidR="00031F79">
        <w:t>egional Monitoring Program</w:t>
      </w:r>
      <w:r>
        <w:t xml:space="preserve">, </w:t>
      </w:r>
      <w:r w:rsidR="00481F60">
        <w:t>and</w:t>
      </w:r>
      <w:r>
        <w:t xml:space="preserve"> review</w:t>
      </w:r>
      <w:r w:rsidR="00481F60">
        <w:t xml:space="preserve">ed </w:t>
      </w:r>
      <w:r>
        <w:t xml:space="preserve">and refined through subsequent </w:t>
      </w:r>
      <w:r w:rsidR="00881A65">
        <w:t xml:space="preserve">technical team and </w:t>
      </w:r>
      <w:r>
        <w:t>stakeholder feedback.  Scenarios can be management scenarios (e.g. reduce nutrient loads, water flow, etc.) and/or "Bay condition" scenarios (e.g. reduce</w:t>
      </w:r>
      <w:r w:rsidR="00031F79">
        <w:t>d</w:t>
      </w:r>
      <w:r>
        <w:t xml:space="preserve"> light</w:t>
      </w:r>
      <w:r w:rsidR="00031F79">
        <w:t xml:space="preserve"> attenuation</w:t>
      </w:r>
      <w:r>
        <w:t xml:space="preserve">, </w:t>
      </w:r>
      <w:r w:rsidR="00D73E2A">
        <w:t xml:space="preserve">change in grazer abundance, </w:t>
      </w:r>
      <w:r>
        <w:t xml:space="preserve">etc.). </w:t>
      </w:r>
    </w:p>
    <w:p w:rsidR="00222C1C" w:rsidRPr="00481F60" w:rsidRDefault="00222C1C" w:rsidP="008A1F47">
      <w:pPr>
        <w:rPr>
          <w:i/>
        </w:rPr>
      </w:pPr>
      <w:r w:rsidRPr="00481F60">
        <w:rPr>
          <w:i/>
        </w:rPr>
        <w:t>Task 2.4. Deliverables</w:t>
      </w:r>
      <w:r w:rsidR="00481F60">
        <w:rPr>
          <w:i/>
        </w:rPr>
        <w:t>:</w:t>
      </w:r>
    </w:p>
    <w:p w:rsidR="00222C1C" w:rsidRDefault="00962020" w:rsidP="008A1F47">
      <w:r>
        <w:t>3</w:t>
      </w:r>
      <w:r w:rsidR="00222C1C">
        <w:t>.4.1 Draft list of scenarios to be evaluated</w:t>
      </w:r>
      <w:r w:rsidR="00A319FD">
        <w:t xml:space="preserve"> (March 2013)</w:t>
      </w:r>
    </w:p>
    <w:p w:rsidR="00222C1C" w:rsidRDefault="00962020" w:rsidP="008A1F47">
      <w:r>
        <w:t>3</w:t>
      </w:r>
      <w:r w:rsidR="00222C1C">
        <w:t>.4.</w:t>
      </w:r>
      <w:r w:rsidR="00CC1322">
        <w:t>2</w:t>
      </w:r>
      <w:r w:rsidR="00222C1C">
        <w:t xml:space="preserve"> Chapter in final technical report </w:t>
      </w:r>
      <w:r w:rsidR="00D24476">
        <w:t>describing</w:t>
      </w:r>
      <w:r w:rsidR="00222C1C">
        <w:t xml:space="preserve"> results of scenario analysis</w:t>
      </w:r>
      <w:r w:rsidR="00A319FD">
        <w:t xml:space="preserve"> (June 2014)</w:t>
      </w:r>
    </w:p>
    <w:p w:rsidR="00222C1C" w:rsidRDefault="00222C1C" w:rsidP="00E627A3">
      <w:pPr>
        <w:spacing w:after="120"/>
      </w:pPr>
    </w:p>
    <w:p w:rsidR="00222C1C" w:rsidRPr="004A25B9" w:rsidRDefault="00D245DC" w:rsidP="00E627A3">
      <w:pPr>
        <w:spacing w:after="120"/>
        <w:rPr>
          <w:b/>
          <w:i/>
        </w:rPr>
      </w:pPr>
      <w:r>
        <w:rPr>
          <w:b/>
          <w:i/>
        </w:rPr>
        <w:br w:type="column"/>
      </w:r>
      <w:r w:rsidR="00222C1C" w:rsidRPr="004A25B9">
        <w:rPr>
          <w:b/>
          <w:i/>
        </w:rPr>
        <w:lastRenderedPageBreak/>
        <w:t xml:space="preserve">Task </w:t>
      </w:r>
      <w:r w:rsidR="00962020">
        <w:rPr>
          <w:b/>
          <w:i/>
        </w:rPr>
        <w:t>3</w:t>
      </w:r>
      <w:r w:rsidR="00222C1C" w:rsidRPr="004A25B9">
        <w:rPr>
          <w:b/>
          <w:i/>
        </w:rPr>
        <w:t>.5 Draft and final technical reports</w:t>
      </w:r>
    </w:p>
    <w:p w:rsidR="00222C1C" w:rsidRDefault="00222C1C" w:rsidP="00222C1C">
      <w:pPr>
        <w:spacing w:after="120"/>
      </w:pPr>
      <w:r>
        <w:t>The purpose of</w:t>
      </w:r>
      <w:r w:rsidR="00090611">
        <w:t xml:space="preserve"> this task is to</w:t>
      </w:r>
      <w:r>
        <w:t xml:space="preserve"> synthesize the work conducted in </w:t>
      </w:r>
      <w:r w:rsidR="009115B5">
        <w:t>Tasks 3.2-</w:t>
      </w:r>
      <w:r w:rsidR="00BF3BBB">
        <w:t>3</w:t>
      </w:r>
      <w:r w:rsidR="00090611">
        <w:t xml:space="preserve">.4 as </w:t>
      </w:r>
      <w:r>
        <w:t>draft and final technical report</w:t>
      </w:r>
      <w:r w:rsidR="00090611">
        <w:t>s</w:t>
      </w:r>
      <w:r>
        <w:t>.  The technical report will be produced in a draft that will be presented in oral form to stakeholders</w:t>
      </w:r>
      <w:r w:rsidR="004A25B9">
        <w:t xml:space="preserve"> and subsequently in written form</w:t>
      </w:r>
      <w:r>
        <w:t xml:space="preserve">, with opportunity for written comments on the draft report. </w:t>
      </w:r>
    </w:p>
    <w:p w:rsidR="00222C1C" w:rsidRDefault="00222C1C" w:rsidP="00222C1C">
      <w:pPr>
        <w:spacing w:after="120"/>
      </w:pPr>
      <w:r>
        <w:t xml:space="preserve">The final report will address comments by stakeholders, to the extent </w:t>
      </w:r>
      <w:r w:rsidR="00090611">
        <w:t>that</w:t>
      </w:r>
      <w:r>
        <w:t xml:space="preserve"> consensus on those comments can be achieved. </w:t>
      </w:r>
    </w:p>
    <w:p w:rsidR="00222C1C" w:rsidRDefault="00222C1C" w:rsidP="008A1F47">
      <w:r w:rsidRPr="008F6ED7">
        <w:rPr>
          <w:i/>
        </w:rPr>
        <w:t>Task 2.5 Deliverables</w:t>
      </w:r>
      <w:r>
        <w:t xml:space="preserve">: </w:t>
      </w:r>
    </w:p>
    <w:p w:rsidR="00222C1C" w:rsidRDefault="00962020" w:rsidP="008A1F47">
      <w:r>
        <w:t>3</w:t>
      </w:r>
      <w:r w:rsidR="00222C1C">
        <w:t>.5.1  Draft technical report</w:t>
      </w:r>
    </w:p>
    <w:p w:rsidR="00222C1C" w:rsidRPr="00961086" w:rsidRDefault="00962020" w:rsidP="008A1F47">
      <w:r>
        <w:t>3</w:t>
      </w:r>
      <w:r w:rsidR="00B45261">
        <w:t xml:space="preserve">.5.2  </w:t>
      </w:r>
      <w:r w:rsidR="00222C1C">
        <w:t>Final technical report</w:t>
      </w:r>
      <w:r w:rsidR="00A319FD">
        <w:t xml:space="preserve"> (June 2014)</w:t>
      </w:r>
    </w:p>
    <w:p w:rsidR="007C48C7" w:rsidRDefault="007C48C7" w:rsidP="00E627A3">
      <w:pPr>
        <w:pStyle w:val="Heading2"/>
        <w:spacing w:before="0" w:after="120"/>
        <w:rPr>
          <w:rFonts w:asciiTheme="minorHAnsi" w:hAnsiTheme="minorHAnsi"/>
          <w:i w:val="0"/>
          <w:sz w:val="24"/>
        </w:rPr>
      </w:pPr>
    </w:p>
    <w:p w:rsidR="00233F35" w:rsidRPr="00233F35" w:rsidRDefault="00222C1C" w:rsidP="00E627A3">
      <w:pPr>
        <w:pStyle w:val="Heading2"/>
        <w:spacing w:before="0" w:after="120"/>
        <w:rPr>
          <w:rFonts w:asciiTheme="minorHAnsi" w:hAnsiTheme="minorHAnsi"/>
          <w:bCs w:val="0"/>
          <w:i w:val="0"/>
          <w:iCs w:val="0"/>
          <w:sz w:val="24"/>
          <w:szCs w:val="20"/>
        </w:rPr>
      </w:pPr>
      <w:r w:rsidRPr="00B35AE7">
        <w:rPr>
          <w:rFonts w:asciiTheme="minorHAnsi" w:hAnsiTheme="minorHAnsi"/>
          <w:i w:val="0"/>
          <w:sz w:val="24"/>
        </w:rPr>
        <w:t xml:space="preserve">Task </w:t>
      </w:r>
      <w:r w:rsidR="00962020">
        <w:rPr>
          <w:rFonts w:asciiTheme="minorHAnsi" w:hAnsiTheme="minorHAnsi"/>
          <w:i w:val="0"/>
          <w:sz w:val="24"/>
        </w:rPr>
        <w:t>4</w:t>
      </w:r>
      <w:r w:rsidR="0052453F" w:rsidRPr="00B35AE7">
        <w:rPr>
          <w:rFonts w:asciiTheme="minorHAnsi" w:hAnsiTheme="minorHAnsi"/>
          <w:i w:val="0"/>
          <w:sz w:val="24"/>
        </w:rPr>
        <w:t xml:space="preserve">: </w:t>
      </w:r>
      <w:r w:rsidR="00486890" w:rsidRPr="00B35AE7">
        <w:rPr>
          <w:rFonts w:asciiTheme="minorHAnsi" w:hAnsiTheme="minorHAnsi"/>
          <w:bCs w:val="0"/>
          <w:i w:val="0"/>
          <w:iCs w:val="0"/>
          <w:sz w:val="24"/>
          <w:szCs w:val="20"/>
        </w:rPr>
        <w:t xml:space="preserve">Synthesis of Science Supporting </w:t>
      </w:r>
      <w:r w:rsidR="00D35B72">
        <w:rPr>
          <w:rFonts w:asciiTheme="minorHAnsi" w:hAnsiTheme="minorHAnsi"/>
          <w:bCs w:val="0"/>
          <w:i w:val="0"/>
          <w:iCs w:val="0"/>
          <w:sz w:val="24"/>
          <w:szCs w:val="20"/>
        </w:rPr>
        <w:t xml:space="preserve">Management </w:t>
      </w:r>
      <w:r w:rsidR="00486890" w:rsidRPr="00B35AE7">
        <w:rPr>
          <w:rFonts w:asciiTheme="minorHAnsi" w:hAnsiTheme="minorHAnsi"/>
          <w:bCs w:val="0"/>
          <w:i w:val="0"/>
          <w:iCs w:val="0"/>
          <w:sz w:val="24"/>
          <w:szCs w:val="20"/>
        </w:rPr>
        <w:t xml:space="preserve">Decisions </w:t>
      </w:r>
      <w:r w:rsidR="00D35B72">
        <w:rPr>
          <w:rFonts w:asciiTheme="minorHAnsi" w:hAnsiTheme="minorHAnsi"/>
          <w:bCs w:val="0"/>
          <w:i w:val="0"/>
          <w:iCs w:val="0"/>
          <w:sz w:val="24"/>
          <w:szCs w:val="20"/>
        </w:rPr>
        <w:t xml:space="preserve">in </w:t>
      </w:r>
      <w:r w:rsidR="00486890" w:rsidRPr="00B35AE7">
        <w:rPr>
          <w:rFonts w:asciiTheme="minorHAnsi" w:hAnsiTheme="minorHAnsi"/>
          <w:bCs w:val="0"/>
          <w:i w:val="0"/>
          <w:iCs w:val="0"/>
          <w:sz w:val="24"/>
          <w:szCs w:val="20"/>
        </w:rPr>
        <w:t>Suisun Bay</w:t>
      </w:r>
      <w:r w:rsidR="00486890">
        <w:rPr>
          <w:rFonts w:asciiTheme="minorHAnsi" w:hAnsiTheme="minorHAnsi"/>
          <w:b w:val="0"/>
          <w:bCs w:val="0"/>
          <w:i w:val="0"/>
          <w:iCs w:val="0"/>
          <w:sz w:val="24"/>
          <w:szCs w:val="20"/>
        </w:rPr>
        <w:t xml:space="preserve"> </w:t>
      </w:r>
    </w:p>
    <w:p w:rsidR="00811225" w:rsidRDefault="00233F35" w:rsidP="00BF41AB">
      <w:r>
        <w:t xml:space="preserve">Several nutrient-related </w:t>
      </w:r>
      <w:r w:rsidR="00791427">
        <w:t>issues</w:t>
      </w:r>
      <w:r>
        <w:t xml:space="preserve"> in Suisun Bay have recently been brought to the forefront by SFRWQCB staff </w:t>
      </w:r>
      <w:r w:rsidR="00791427">
        <w:t>due to time-sensitive considerations around the</w:t>
      </w:r>
      <w:r>
        <w:t xml:space="preserve"> re</w:t>
      </w:r>
      <w:r w:rsidR="00E41308">
        <w:t>issuance</w:t>
      </w:r>
      <w:r>
        <w:t xml:space="preserve"> of the Central Contra Costa Sanitation District (CCCSD)</w:t>
      </w:r>
      <w:r w:rsidR="00D245DC">
        <w:t>.</w:t>
      </w:r>
      <w:r>
        <w:t xml:space="preserve">  The </w:t>
      </w:r>
      <w:r w:rsidR="009C5959">
        <w:t>issues are related to</w:t>
      </w:r>
      <w:r w:rsidR="00791427">
        <w:t xml:space="preserve"> </w:t>
      </w:r>
    </w:p>
    <w:p w:rsidR="00811225" w:rsidRDefault="00811225" w:rsidP="00E627A3">
      <w:pPr>
        <w:pStyle w:val="ListParagraph"/>
        <w:numPr>
          <w:ilvl w:val="0"/>
          <w:numId w:val="2"/>
        </w:numPr>
        <w:spacing w:after="120"/>
        <w:ind w:left="360"/>
      </w:pPr>
      <w:r>
        <w:t xml:space="preserve">the extent to which loads from </w:t>
      </w:r>
      <w:r w:rsidR="005D601D">
        <w:t xml:space="preserve">CCSD </w:t>
      </w:r>
      <w:r w:rsidR="00FE0447">
        <w:t>and other discharges to Suisun Bay</w:t>
      </w:r>
      <w:r w:rsidR="004B75C7">
        <w:t xml:space="preserve"> </w:t>
      </w:r>
      <w:r w:rsidR="00486890">
        <w:t>drive the spati</w:t>
      </w:r>
      <w:r w:rsidR="00CC1322">
        <w:t>a</w:t>
      </w:r>
      <w:r w:rsidR="00486890">
        <w:t xml:space="preserve">l and temporal patterns in </w:t>
      </w:r>
      <w:r w:rsidR="005D601D">
        <w:t>ammonium</w:t>
      </w:r>
      <w:r w:rsidRPr="00811225">
        <w:t xml:space="preserve"> concentrations in different parts of Suisun Bay</w:t>
      </w:r>
      <w:r>
        <w:t xml:space="preserve">; </w:t>
      </w:r>
    </w:p>
    <w:p w:rsidR="00E41308" w:rsidRDefault="00486890" w:rsidP="00E627A3">
      <w:pPr>
        <w:pStyle w:val="ListParagraph"/>
        <w:numPr>
          <w:ilvl w:val="0"/>
          <w:numId w:val="2"/>
        </w:numPr>
        <w:spacing w:after="120"/>
        <w:ind w:left="360"/>
      </w:pPr>
      <w:r>
        <w:t>the magnitude and tim</w:t>
      </w:r>
      <w:r w:rsidR="00CC1322">
        <w:t>ing</w:t>
      </w:r>
      <w:r>
        <w:t xml:space="preserve"> of these concentrations </w:t>
      </w:r>
      <w:r w:rsidR="00811225" w:rsidRPr="00811225">
        <w:t>relat</w:t>
      </w:r>
      <w:r w:rsidR="00CC1322">
        <w:t>ive</w:t>
      </w:r>
      <w:r w:rsidR="00811225" w:rsidRPr="00811225">
        <w:t xml:space="preserve"> to </w:t>
      </w:r>
      <w:r w:rsidR="00881A65">
        <w:t>sensitive life states of copepods and diatom bloom dynamics</w:t>
      </w:r>
      <w:r w:rsidR="00811225">
        <w:t xml:space="preserve">, driven by concerns </w:t>
      </w:r>
      <w:r w:rsidR="005D601D">
        <w:t>over</w:t>
      </w:r>
      <w:r w:rsidR="00811225">
        <w:t xml:space="preserve"> </w:t>
      </w:r>
      <w:r w:rsidR="00881A65">
        <w:t xml:space="preserve">potential ammonium toxicity to copepods and </w:t>
      </w:r>
      <w:r w:rsidR="00811225">
        <w:t xml:space="preserve">potential </w:t>
      </w:r>
      <w:r w:rsidR="005D601D">
        <w:t xml:space="preserve">ammonium </w:t>
      </w:r>
      <w:r w:rsidR="00811225">
        <w:t>inhibition of diatom primary production</w:t>
      </w:r>
      <w:r w:rsidR="00881A65">
        <w:t>;</w:t>
      </w:r>
    </w:p>
    <w:p w:rsidR="008D282D" w:rsidRPr="009D01BF" w:rsidRDefault="00E41308" w:rsidP="00E627A3">
      <w:pPr>
        <w:pStyle w:val="ListParagraph"/>
        <w:numPr>
          <w:ilvl w:val="0"/>
          <w:numId w:val="2"/>
        </w:numPr>
        <w:spacing w:after="120"/>
        <w:ind w:left="360"/>
      </w:pPr>
      <w:r>
        <w:t>other sources of ammonium, e.g., sediment flux</w:t>
      </w:r>
      <w:r w:rsidR="005D601D">
        <w:t>.</w:t>
      </w:r>
    </w:p>
    <w:p w:rsidR="00486890" w:rsidRPr="00F914F1" w:rsidRDefault="00CE6B9F" w:rsidP="00E627A3">
      <w:pPr>
        <w:spacing w:after="120"/>
        <w:rPr>
          <w:rFonts w:cs="Arial"/>
          <w:color w:val="000000"/>
          <w:szCs w:val="23"/>
        </w:rPr>
      </w:pPr>
      <w:r>
        <w:rPr>
          <w:rFonts w:cs="Arial"/>
          <w:color w:val="000000"/>
          <w:szCs w:val="23"/>
        </w:rPr>
        <w:t xml:space="preserve">Several of the issues raised by the </w:t>
      </w:r>
      <w:r w:rsidR="00E41308">
        <w:rPr>
          <w:rFonts w:cs="Arial"/>
          <w:color w:val="000000"/>
          <w:szCs w:val="23"/>
        </w:rPr>
        <w:t xml:space="preserve">Regional Water </w:t>
      </w:r>
      <w:r w:rsidR="00090611">
        <w:rPr>
          <w:rFonts w:cs="Arial"/>
          <w:color w:val="000000"/>
          <w:szCs w:val="23"/>
        </w:rPr>
        <w:t>Boards</w:t>
      </w:r>
      <w:r w:rsidR="00C547A3" w:rsidRPr="00C547A3">
        <w:rPr>
          <w:rFonts w:cs="Arial"/>
          <w:color w:val="000000"/>
          <w:szCs w:val="23"/>
        </w:rPr>
        <w:t xml:space="preserve"> </w:t>
      </w:r>
      <w:r w:rsidR="00C547A3">
        <w:rPr>
          <w:rFonts w:cs="Arial"/>
          <w:color w:val="000000"/>
          <w:szCs w:val="23"/>
        </w:rPr>
        <w:t>specific to Suisun Bay,</w:t>
      </w:r>
      <w:r>
        <w:rPr>
          <w:rFonts w:cs="Arial"/>
          <w:color w:val="000000"/>
          <w:szCs w:val="23"/>
        </w:rPr>
        <w:t xml:space="preserve"> and </w:t>
      </w:r>
      <w:r w:rsidR="00C547A3">
        <w:rPr>
          <w:rFonts w:cs="Arial"/>
          <w:color w:val="000000"/>
          <w:szCs w:val="23"/>
        </w:rPr>
        <w:t>identified in the research framework that emerged from the CalFed Bay-Delta workshop</w:t>
      </w:r>
      <w:r w:rsidR="00C547A3">
        <w:rPr>
          <w:rStyle w:val="FootnoteReference"/>
          <w:rFonts w:cs="Arial"/>
          <w:color w:val="000000"/>
          <w:szCs w:val="23"/>
        </w:rPr>
        <w:footnoteReference w:id="1"/>
      </w:r>
      <w:r w:rsidR="00090611">
        <w:rPr>
          <w:rFonts w:cs="Arial"/>
          <w:color w:val="000000"/>
          <w:szCs w:val="23"/>
        </w:rPr>
        <w:t xml:space="preserve">, </w:t>
      </w:r>
      <w:r w:rsidR="008D282D" w:rsidRPr="00C9780A">
        <w:rPr>
          <w:rFonts w:cs="Arial"/>
          <w:color w:val="000000"/>
          <w:szCs w:val="23"/>
        </w:rPr>
        <w:t xml:space="preserve">are currently being </w:t>
      </w:r>
      <w:r>
        <w:rPr>
          <w:rFonts w:cs="Arial"/>
          <w:color w:val="000000"/>
          <w:szCs w:val="23"/>
        </w:rPr>
        <w:t xml:space="preserve">explored in studies </w:t>
      </w:r>
      <w:r w:rsidR="00FB6433">
        <w:rPr>
          <w:rFonts w:cs="Arial"/>
          <w:color w:val="000000"/>
          <w:szCs w:val="23"/>
        </w:rPr>
        <w:t>carried out</w:t>
      </w:r>
      <w:r w:rsidR="008D282D" w:rsidRPr="00C9780A">
        <w:rPr>
          <w:rFonts w:cs="Arial"/>
          <w:color w:val="000000"/>
          <w:szCs w:val="23"/>
        </w:rPr>
        <w:t xml:space="preserve"> </w:t>
      </w:r>
      <w:r w:rsidR="00FB6433">
        <w:rPr>
          <w:rFonts w:cs="Arial"/>
          <w:color w:val="000000"/>
          <w:szCs w:val="23"/>
        </w:rPr>
        <w:t xml:space="preserve">through a </w:t>
      </w:r>
      <w:r w:rsidR="00B135BC" w:rsidRPr="00C9780A">
        <w:rPr>
          <w:rFonts w:cs="Arial"/>
          <w:color w:val="000000"/>
          <w:szCs w:val="23"/>
        </w:rPr>
        <w:t>SFRWQCB</w:t>
      </w:r>
      <w:r w:rsidR="008D282D" w:rsidRPr="00C9780A">
        <w:rPr>
          <w:rFonts w:cs="Arial"/>
          <w:color w:val="000000"/>
          <w:szCs w:val="23"/>
        </w:rPr>
        <w:t xml:space="preserve"> </w:t>
      </w:r>
      <w:r w:rsidR="00C9780A">
        <w:rPr>
          <w:rFonts w:cs="Arial"/>
          <w:color w:val="000000"/>
          <w:szCs w:val="23"/>
        </w:rPr>
        <w:t>coordinated</w:t>
      </w:r>
      <w:r w:rsidR="008D282D" w:rsidRPr="00C9780A">
        <w:rPr>
          <w:rFonts w:cs="Arial"/>
          <w:color w:val="000000"/>
          <w:szCs w:val="23"/>
        </w:rPr>
        <w:t xml:space="preserve"> effort</w:t>
      </w:r>
      <w:r w:rsidR="00C9780A">
        <w:rPr>
          <w:rFonts w:cs="Arial"/>
          <w:color w:val="000000"/>
          <w:szCs w:val="23"/>
        </w:rPr>
        <w:t>.</w:t>
      </w:r>
      <w:r w:rsidR="00FB6433">
        <w:rPr>
          <w:rFonts w:cs="Arial"/>
          <w:color w:val="000000"/>
          <w:szCs w:val="23"/>
        </w:rPr>
        <w:t xml:space="preserve">  Additional relevant studies are </w:t>
      </w:r>
      <w:r w:rsidR="009C5959">
        <w:rPr>
          <w:rFonts w:cs="Arial"/>
          <w:color w:val="000000"/>
          <w:szCs w:val="23"/>
        </w:rPr>
        <w:t>also being carried out through</w:t>
      </w:r>
      <w:r w:rsidR="00FB6433">
        <w:rPr>
          <w:rFonts w:cs="Arial"/>
          <w:color w:val="000000"/>
          <w:szCs w:val="23"/>
        </w:rPr>
        <w:t xml:space="preserve"> the Interagency Ecological Program</w:t>
      </w:r>
      <w:r w:rsidR="00BC78DD">
        <w:rPr>
          <w:rFonts w:cs="Arial"/>
          <w:color w:val="000000"/>
          <w:szCs w:val="23"/>
        </w:rPr>
        <w:t xml:space="preserve"> as part of the Bay-Delta program</w:t>
      </w:r>
      <w:r w:rsidR="00C547A3">
        <w:rPr>
          <w:rFonts w:cs="Arial"/>
          <w:color w:val="000000"/>
          <w:szCs w:val="23"/>
        </w:rPr>
        <w:t>, and studies sponsored by</w:t>
      </w:r>
      <w:r w:rsidR="00962020">
        <w:rPr>
          <w:rFonts w:cs="Arial"/>
          <w:color w:val="000000"/>
          <w:szCs w:val="23"/>
        </w:rPr>
        <w:t xml:space="preserve"> the State and Federal Water Contractors Agency</w:t>
      </w:r>
      <w:r w:rsidR="00FB6433">
        <w:rPr>
          <w:rFonts w:cs="Arial"/>
          <w:color w:val="000000"/>
          <w:szCs w:val="23"/>
        </w:rPr>
        <w:t>.</w:t>
      </w:r>
      <w:r w:rsidR="00DF47EC">
        <w:rPr>
          <w:rFonts w:cs="Arial"/>
          <w:color w:val="000000"/>
          <w:szCs w:val="23"/>
        </w:rPr>
        <w:t xml:space="preserve">  Some of these studies are on-going,</w:t>
      </w:r>
      <w:r w:rsidR="009C5959">
        <w:rPr>
          <w:rFonts w:cs="Arial"/>
          <w:color w:val="000000"/>
          <w:szCs w:val="23"/>
        </w:rPr>
        <w:t xml:space="preserve"> and for others final synthese</w:t>
      </w:r>
      <w:r w:rsidR="00DF47EC">
        <w:rPr>
          <w:rFonts w:cs="Arial"/>
          <w:color w:val="000000"/>
          <w:szCs w:val="23"/>
        </w:rPr>
        <w:t>s ha</w:t>
      </w:r>
      <w:r w:rsidR="009C5959">
        <w:rPr>
          <w:rFonts w:cs="Arial"/>
          <w:color w:val="000000"/>
          <w:szCs w:val="23"/>
        </w:rPr>
        <w:t>ve</w:t>
      </w:r>
      <w:r w:rsidR="00DF47EC">
        <w:rPr>
          <w:rFonts w:cs="Arial"/>
          <w:color w:val="000000"/>
          <w:szCs w:val="23"/>
        </w:rPr>
        <w:t xml:space="preserve"> not yet been completed.</w:t>
      </w:r>
    </w:p>
    <w:p w:rsidR="00CC3976" w:rsidRDefault="00F914F1" w:rsidP="00E627A3">
      <w:pPr>
        <w:spacing w:after="120"/>
        <w:rPr>
          <w:rFonts w:cs="Arial"/>
          <w:color w:val="000000"/>
          <w:szCs w:val="23"/>
        </w:rPr>
      </w:pPr>
      <w:r>
        <w:t>Four sub-tasks</w:t>
      </w:r>
      <w:r w:rsidR="009D01BF">
        <w:t xml:space="preserve"> and </w:t>
      </w:r>
      <w:r>
        <w:t xml:space="preserve">sets of </w:t>
      </w:r>
      <w:r w:rsidR="009D01BF">
        <w:t xml:space="preserve">deliverables are </w:t>
      </w:r>
      <w:r w:rsidR="00E627A3">
        <w:t>proposed</w:t>
      </w:r>
      <w:r w:rsidR="009D01BF">
        <w:t xml:space="preserve"> to address </w:t>
      </w:r>
      <w:r w:rsidR="009C5959">
        <w:t>time-sensitive</w:t>
      </w:r>
      <w:r w:rsidR="00E627A3">
        <w:t xml:space="preserve"> questions related to </w:t>
      </w:r>
      <w:r w:rsidR="009D01BF">
        <w:t xml:space="preserve">ammonium </w:t>
      </w:r>
      <w:r w:rsidR="009C5959">
        <w:t xml:space="preserve">studies </w:t>
      </w:r>
      <w:r w:rsidR="009D01BF">
        <w:t>in Suisun Bay.</w:t>
      </w:r>
      <w:r w:rsidR="00E1619C">
        <w:rPr>
          <w:rFonts w:cs="Arial"/>
          <w:color w:val="000000"/>
          <w:szCs w:val="23"/>
        </w:rPr>
        <w:t xml:space="preserve"> </w:t>
      </w:r>
      <w:r w:rsidR="00A413D4">
        <w:rPr>
          <w:rFonts w:cs="Arial"/>
          <w:color w:val="000000"/>
          <w:szCs w:val="23"/>
        </w:rPr>
        <w:t xml:space="preserve"> </w:t>
      </w:r>
      <w:r w:rsidR="00D759AF">
        <w:rPr>
          <w:rFonts w:cs="Arial"/>
          <w:color w:val="000000"/>
          <w:szCs w:val="23"/>
        </w:rPr>
        <w:t xml:space="preserve">Work on these deliverables will commence in 2012, but some will extend beyond 2012 as discussed below (and see Section 5 for schedule of deliverable due dates). </w:t>
      </w:r>
      <w:r w:rsidR="00D245DC">
        <w:rPr>
          <w:rFonts w:cs="Arial"/>
          <w:color w:val="000000"/>
          <w:szCs w:val="23"/>
        </w:rPr>
        <w:t xml:space="preserve"> Effort on these tasks that </w:t>
      </w:r>
      <w:r w:rsidR="00D245DC">
        <w:rPr>
          <w:rFonts w:cs="Arial"/>
          <w:color w:val="000000"/>
          <w:szCs w:val="23"/>
        </w:rPr>
        <w:lastRenderedPageBreak/>
        <w:t>extends beyond 2012 has not yet been fun</w:t>
      </w:r>
      <w:r w:rsidR="000C4DFE">
        <w:rPr>
          <w:rFonts w:cs="Arial"/>
          <w:color w:val="000000"/>
          <w:szCs w:val="23"/>
        </w:rPr>
        <w:t>ded, and is not included in the budget</w:t>
      </w:r>
      <w:r w:rsidR="00D245DC">
        <w:rPr>
          <w:rFonts w:cs="Arial"/>
          <w:color w:val="000000"/>
          <w:szCs w:val="23"/>
        </w:rPr>
        <w:t xml:space="preserve">. </w:t>
      </w:r>
      <w:r w:rsidR="00D759AF">
        <w:rPr>
          <w:rFonts w:cs="Arial"/>
          <w:color w:val="000000"/>
          <w:szCs w:val="23"/>
        </w:rPr>
        <w:t xml:space="preserve">The goal of these studies is to enable </w:t>
      </w:r>
      <w:r w:rsidR="00D004F8">
        <w:rPr>
          <w:rFonts w:cs="Arial"/>
          <w:color w:val="000000"/>
          <w:szCs w:val="23"/>
        </w:rPr>
        <w:t>SFRWQCB</w:t>
      </w:r>
      <w:r w:rsidR="00D759AF">
        <w:rPr>
          <w:rFonts w:cs="Arial"/>
          <w:color w:val="000000"/>
          <w:szCs w:val="23"/>
        </w:rPr>
        <w:t xml:space="preserve"> staff to make decisions about permit reissuance by 2016.</w:t>
      </w:r>
      <w:r w:rsidR="00D245DC">
        <w:rPr>
          <w:rFonts w:cs="Arial"/>
          <w:color w:val="000000"/>
          <w:szCs w:val="23"/>
        </w:rPr>
        <w:t xml:space="preserve"> </w:t>
      </w:r>
    </w:p>
    <w:p w:rsidR="00952962" w:rsidRPr="0008130C" w:rsidRDefault="00E41308" w:rsidP="00952962">
      <w:pPr>
        <w:spacing w:after="120"/>
        <w:rPr>
          <w:rFonts w:cs="Arial"/>
          <w:b/>
          <w:color w:val="000000"/>
          <w:szCs w:val="23"/>
        </w:rPr>
      </w:pPr>
      <w:r>
        <w:rPr>
          <w:rFonts w:cs="Arial"/>
          <w:b/>
          <w:color w:val="000000"/>
          <w:szCs w:val="23"/>
        </w:rPr>
        <w:t>Subt</w:t>
      </w:r>
      <w:r w:rsidR="00952962" w:rsidRPr="0008130C">
        <w:rPr>
          <w:rFonts w:cs="Arial"/>
          <w:b/>
          <w:color w:val="000000"/>
          <w:szCs w:val="23"/>
        </w:rPr>
        <w:t xml:space="preserve">ask </w:t>
      </w:r>
      <w:r w:rsidR="00962020">
        <w:rPr>
          <w:rFonts w:cs="Arial"/>
          <w:b/>
          <w:color w:val="000000"/>
          <w:szCs w:val="23"/>
        </w:rPr>
        <w:t>4</w:t>
      </w:r>
      <w:r w:rsidR="00952962" w:rsidRPr="0008130C">
        <w:rPr>
          <w:rFonts w:cs="Arial"/>
          <w:b/>
          <w:color w:val="000000"/>
          <w:szCs w:val="23"/>
        </w:rPr>
        <w:t xml:space="preserve">.1 </w:t>
      </w:r>
      <w:r w:rsidR="00B45261">
        <w:rPr>
          <w:rFonts w:cs="Arial"/>
          <w:b/>
          <w:color w:val="000000"/>
          <w:szCs w:val="23"/>
        </w:rPr>
        <w:t xml:space="preserve">Synthesis Report and </w:t>
      </w:r>
      <w:r w:rsidR="00952962" w:rsidRPr="0008130C">
        <w:rPr>
          <w:rFonts w:cs="Arial"/>
          <w:b/>
          <w:color w:val="000000"/>
          <w:szCs w:val="23"/>
        </w:rPr>
        <w:t>Study Plan</w:t>
      </w:r>
    </w:p>
    <w:p w:rsidR="00446E5D" w:rsidRDefault="00B45261" w:rsidP="00952962">
      <w:pPr>
        <w:spacing w:after="120"/>
        <w:rPr>
          <w:rFonts w:cs="Arial"/>
          <w:color w:val="000000"/>
          <w:szCs w:val="23"/>
        </w:rPr>
      </w:pPr>
      <w:r w:rsidRPr="00562377">
        <w:rPr>
          <w:rFonts w:cs="Arial"/>
          <w:color w:val="000000"/>
          <w:szCs w:val="23"/>
        </w:rPr>
        <w:t>The purpose of this subtask is to provide a brief synthesis report that summarizes existing knowledge related to beneficial use impairment from ammonium in Suisun</w:t>
      </w:r>
      <w:r>
        <w:rPr>
          <w:rFonts w:cs="Arial"/>
          <w:color w:val="000000"/>
          <w:szCs w:val="23"/>
        </w:rPr>
        <w:t xml:space="preserve"> Bay, describes recently completed or on-going studies (including SFRWQCB’s ongoing Suisun Bay study), and identifies</w:t>
      </w:r>
      <w:r w:rsidRPr="004451E4">
        <w:rPr>
          <w:rFonts w:cs="Arial"/>
          <w:color w:val="000000"/>
          <w:szCs w:val="23"/>
        </w:rPr>
        <w:t xml:space="preserve"> </w:t>
      </w:r>
      <w:r>
        <w:rPr>
          <w:rFonts w:cs="Arial"/>
          <w:color w:val="000000"/>
          <w:szCs w:val="23"/>
        </w:rPr>
        <w:t>additional</w:t>
      </w:r>
      <w:r w:rsidRPr="004451E4">
        <w:rPr>
          <w:rFonts w:cs="Arial"/>
          <w:color w:val="000000"/>
          <w:szCs w:val="23"/>
        </w:rPr>
        <w:t xml:space="preserve"> studies </w:t>
      </w:r>
      <w:r>
        <w:rPr>
          <w:rFonts w:cs="Arial"/>
          <w:color w:val="000000"/>
          <w:szCs w:val="23"/>
        </w:rPr>
        <w:t xml:space="preserve">needed </w:t>
      </w:r>
      <w:r w:rsidRPr="004451E4">
        <w:rPr>
          <w:rFonts w:cs="Arial"/>
          <w:color w:val="000000"/>
          <w:szCs w:val="23"/>
        </w:rPr>
        <w:t xml:space="preserve">to address </w:t>
      </w:r>
      <w:r>
        <w:rPr>
          <w:rFonts w:cs="Arial"/>
          <w:color w:val="000000"/>
          <w:szCs w:val="23"/>
        </w:rPr>
        <w:t xml:space="preserve">persistent </w:t>
      </w:r>
      <w:r w:rsidRPr="004451E4">
        <w:rPr>
          <w:rFonts w:cs="Arial"/>
          <w:color w:val="000000"/>
          <w:szCs w:val="23"/>
        </w:rPr>
        <w:t>knowledge gaps</w:t>
      </w:r>
      <w:r>
        <w:rPr>
          <w:rFonts w:cs="Arial"/>
          <w:color w:val="000000"/>
          <w:szCs w:val="23"/>
        </w:rPr>
        <w:t>. This report will build upon and update the research framework that resulted from the CalFed Bay-Delta workshop</w:t>
      </w:r>
      <w:r w:rsidR="00446E5D">
        <w:rPr>
          <w:rFonts w:cs="Arial"/>
          <w:color w:val="000000"/>
          <w:szCs w:val="23"/>
        </w:rPr>
        <w:t>.</w:t>
      </w:r>
    </w:p>
    <w:p w:rsidR="00952962" w:rsidRDefault="00446E5D" w:rsidP="00952962">
      <w:pPr>
        <w:spacing w:after="120"/>
        <w:rPr>
          <w:rFonts w:cs="Arial"/>
          <w:color w:val="000000"/>
          <w:szCs w:val="23"/>
        </w:rPr>
      </w:pPr>
      <w:r>
        <w:rPr>
          <w:rFonts w:cs="Arial"/>
          <w:color w:val="000000"/>
          <w:szCs w:val="23"/>
        </w:rPr>
        <w:t xml:space="preserve">This task will also develop </w:t>
      </w:r>
      <w:r w:rsidR="00952962">
        <w:rPr>
          <w:rFonts w:cs="Arial"/>
          <w:color w:val="000000"/>
          <w:szCs w:val="23"/>
        </w:rPr>
        <w:t>a study plan that articulates the key questions, scope and assump</w:t>
      </w:r>
      <w:r>
        <w:rPr>
          <w:rFonts w:cs="Arial"/>
          <w:color w:val="000000"/>
          <w:szCs w:val="23"/>
        </w:rPr>
        <w:t xml:space="preserve">tions to undertake in Tasks </w:t>
      </w:r>
      <w:r w:rsidR="00962020">
        <w:rPr>
          <w:rFonts w:cs="Arial"/>
          <w:color w:val="000000"/>
          <w:szCs w:val="23"/>
        </w:rPr>
        <w:t>4</w:t>
      </w:r>
      <w:r>
        <w:rPr>
          <w:rFonts w:cs="Arial"/>
          <w:color w:val="000000"/>
          <w:szCs w:val="23"/>
        </w:rPr>
        <w:t>.2-</w:t>
      </w:r>
      <w:r w:rsidR="00962020">
        <w:rPr>
          <w:rFonts w:cs="Arial"/>
          <w:color w:val="000000"/>
          <w:szCs w:val="23"/>
        </w:rPr>
        <w:t>4</w:t>
      </w:r>
      <w:r>
        <w:rPr>
          <w:rFonts w:cs="Arial"/>
          <w:color w:val="000000"/>
          <w:szCs w:val="23"/>
        </w:rPr>
        <w:t>.3</w:t>
      </w:r>
      <w:r w:rsidR="00952962">
        <w:rPr>
          <w:rFonts w:cs="Arial"/>
          <w:color w:val="000000"/>
          <w:szCs w:val="23"/>
        </w:rPr>
        <w:t xml:space="preserve"> below. This study plan will be reviewed and commented on by the stakeholder advisory group and RB2 staff prior to beginning work on subsequent tasks. </w:t>
      </w:r>
      <w:r w:rsidR="00952962">
        <w:t>The study plan will propose a schedule for completion of additional studies identified and a schedule for completion of the deliverables identified in the work elements discussed below.  It is anticipate</w:t>
      </w:r>
      <w:r w:rsidR="00BF3BBB">
        <w:t>d</w:t>
      </w:r>
      <w:r w:rsidR="00952962">
        <w:t xml:space="preserve"> that the study plan will be revisited annually as part of annual progress report submittal and adjustments will be recommended to RB2 staff.  The study plan may also be adaptively managed as an element of the overall nutrient strategy.</w:t>
      </w:r>
    </w:p>
    <w:p w:rsidR="00952962" w:rsidRPr="0008130C" w:rsidRDefault="00952962" w:rsidP="008A1F47">
      <w:pPr>
        <w:rPr>
          <w:rFonts w:cs="Arial"/>
          <w:i/>
          <w:color w:val="000000"/>
          <w:szCs w:val="23"/>
        </w:rPr>
      </w:pPr>
      <w:r w:rsidRPr="0008130C">
        <w:rPr>
          <w:rFonts w:cs="Arial"/>
          <w:i/>
          <w:color w:val="000000"/>
          <w:szCs w:val="23"/>
        </w:rPr>
        <w:t xml:space="preserve">Task </w:t>
      </w:r>
      <w:r w:rsidR="00245F22">
        <w:rPr>
          <w:rFonts w:cs="Arial"/>
          <w:i/>
          <w:color w:val="000000"/>
          <w:szCs w:val="23"/>
        </w:rPr>
        <w:t>4</w:t>
      </w:r>
      <w:r w:rsidRPr="0008130C">
        <w:rPr>
          <w:rFonts w:cs="Arial"/>
          <w:i/>
          <w:color w:val="000000"/>
          <w:szCs w:val="23"/>
        </w:rPr>
        <w:t>.1 Deliverables</w:t>
      </w:r>
    </w:p>
    <w:p w:rsidR="00952962" w:rsidRDefault="00245F22" w:rsidP="008A1F47">
      <w:pPr>
        <w:rPr>
          <w:rFonts w:cs="Arial"/>
          <w:color w:val="000000"/>
          <w:szCs w:val="23"/>
        </w:rPr>
      </w:pPr>
      <w:r>
        <w:rPr>
          <w:rFonts w:cs="Arial"/>
          <w:color w:val="000000"/>
          <w:szCs w:val="23"/>
        </w:rPr>
        <w:t>4</w:t>
      </w:r>
      <w:r w:rsidR="00952962">
        <w:rPr>
          <w:rFonts w:cs="Arial"/>
          <w:color w:val="000000"/>
          <w:szCs w:val="23"/>
        </w:rPr>
        <w:t xml:space="preserve">.1.1 </w:t>
      </w:r>
      <w:r w:rsidR="00952962">
        <w:rPr>
          <w:rFonts w:cs="Arial"/>
          <w:color w:val="000000"/>
          <w:szCs w:val="23"/>
        </w:rPr>
        <w:tab/>
        <w:t xml:space="preserve">Draft </w:t>
      </w:r>
      <w:r w:rsidR="00D35B72">
        <w:rPr>
          <w:rFonts w:cs="Arial"/>
          <w:color w:val="000000"/>
          <w:szCs w:val="23"/>
        </w:rPr>
        <w:t xml:space="preserve">synthesis report and </w:t>
      </w:r>
      <w:r w:rsidR="00952962">
        <w:rPr>
          <w:rFonts w:cs="Arial"/>
          <w:color w:val="000000"/>
          <w:szCs w:val="23"/>
        </w:rPr>
        <w:t>study plan</w:t>
      </w:r>
    </w:p>
    <w:p w:rsidR="00952962" w:rsidRDefault="00245F22" w:rsidP="008A1F47">
      <w:pPr>
        <w:rPr>
          <w:rFonts w:cs="Arial"/>
          <w:color w:val="000000"/>
          <w:szCs w:val="23"/>
        </w:rPr>
      </w:pPr>
      <w:r>
        <w:rPr>
          <w:rFonts w:cs="Arial"/>
          <w:color w:val="000000"/>
          <w:szCs w:val="23"/>
        </w:rPr>
        <w:t>4</w:t>
      </w:r>
      <w:r w:rsidR="00952962">
        <w:rPr>
          <w:rFonts w:cs="Arial"/>
          <w:color w:val="000000"/>
          <w:szCs w:val="23"/>
        </w:rPr>
        <w:t>.1.2</w:t>
      </w:r>
      <w:r w:rsidR="00952962">
        <w:rPr>
          <w:rFonts w:cs="Arial"/>
          <w:color w:val="000000"/>
          <w:szCs w:val="23"/>
        </w:rPr>
        <w:tab/>
        <w:t xml:space="preserve">Final </w:t>
      </w:r>
      <w:r w:rsidR="00BD3428">
        <w:rPr>
          <w:rFonts w:cs="Arial"/>
          <w:color w:val="000000"/>
          <w:szCs w:val="23"/>
        </w:rPr>
        <w:t xml:space="preserve">synthesis report and </w:t>
      </w:r>
      <w:r w:rsidR="00952962">
        <w:rPr>
          <w:rFonts w:cs="Arial"/>
          <w:color w:val="000000"/>
          <w:szCs w:val="23"/>
        </w:rPr>
        <w:t>s</w:t>
      </w:r>
      <w:r w:rsidR="00BD3428">
        <w:rPr>
          <w:rFonts w:cs="Arial"/>
          <w:color w:val="000000"/>
          <w:szCs w:val="23"/>
        </w:rPr>
        <w:t>tudy plan that incorporate</w:t>
      </w:r>
      <w:r w:rsidR="00952962">
        <w:rPr>
          <w:rFonts w:cs="Arial"/>
          <w:color w:val="000000"/>
          <w:szCs w:val="23"/>
        </w:rPr>
        <w:t>, to the extent possible, stakeholder comments</w:t>
      </w:r>
    </w:p>
    <w:p w:rsidR="008A1F47" w:rsidRDefault="008A1F47" w:rsidP="00E627A3">
      <w:pPr>
        <w:spacing w:after="120"/>
        <w:rPr>
          <w:rFonts w:cs="Arial"/>
          <w:b/>
          <w:color w:val="000000"/>
          <w:szCs w:val="23"/>
        </w:rPr>
      </w:pPr>
    </w:p>
    <w:p w:rsidR="00486890" w:rsidRPr="0008130C" w:rsidRDefault="00BD3428" w:rsidP="00E627A3">
      <w:pPr>
        <w:spacing w:after="120"/>
        <w:rPr>
          <w:rFonts w:cs="Arial"/>
          <w:b/>
          <w:color w:val="000000"/>
          <w:szCs w:val="23"/>
        </w:rPr>
      </w:pPr>
      <w:r>
        <w:rPr>
          <w:b/>
        </w:rPr>
        <w:t xml:space="preserve">Task </w:t>
      </w:r>
      <w:r w:rsidR="00245F22">
        <w:rPr>
          <w:b/>
        </w:rPr>
        <w:t>4</w:t>
      </w:r>
      <w:r>
        <w:rPr>
          <w:b/>
        </w:rPr>
        <w:t>.2</w:t>
      </w:r>
      <w:r w:rsidR="00486890" w:rsidRPr="0008130C">
        <w:rPr>
          <w:b/>
        </w:rPr>
        <w:t xml:space="preserve"> Report on Assessment of Potential Effects o</w:t>
      </w:r>
      <w:r w:rsidR="00A901CD" w:rsidRPr="0008130C">
        <w:rPr>
          <w:b/>
        </w:rPr>
        <w:t>n</w:t>
      </w:r>
      <w:r w:rsidR="00486890" w:rsidRPr="0008130C">
        <w:rPr>
          <w:b/>
        </w:rPr>
        <w:t xml:space="preserve"> Diatoms and Copepods from Elevated Ammonium</w:t>
      </w:r>
    </w:p>
    <w:p w:rsidR="00B411DF" w:rsidRDefault="00486890" w:rsidP="00E627A3">
      <w:pPr>
        <w:spacing w:after="120"/>
        <w:rPr>
          <w:rFonts w:cs="Arial"/>
          <w:color w:val="000000"/>
          <w:szCs w:val="23"/>
        </w:rPr>
      </w:pPr>
      <w:r>
        <w:rPr>
          <w:rFonts w:cs="Arial"/>
          <w:color w:val="000000"/>
          <w:szCs w:val="23"/>
        </w:rPr>
        <w:t xml:space="preserve">The second task </w:t>
      </w:r>
      <w:r w:rsidR="005D601D">
        <w:rPr>
          <w:rFonts w:cs="Arial"/>
          <w:color w:val="000000"/>
          <w:szCs w:val="23"/>
        </w:rPr>
        <w:t xml:space="preserve">will be </w:t>
      </w:r>
      <w:r w:rsidR="00634CE0" w:rsidRPr="00634CE0">
        <w:rPr>
          <w:rFonts w:cs="Arial"/>
          <w:color w:val="000000"/>
          <w:szCs w:val="23"/>
        </w:rPr>
        <w:t xml:space="preserve">a </w:t>
      </w:r>
      <w:r w:rsidR="00CA774A">
        <w:rPr>
          <w:rFonts w:cs="Arial"/>
          <w:color w:val="000000"/>
          <w:szCs w:val="23"/>
        </w:rPr>
        <w:t xml:space="preserve">technical </w:t>
      </w:r>
      <w:r w:rsidR="00634CE0" w:rsidRPr="00634CE0">
        <w:rPr>
          <w:rFonts w:cs="Arial"/>
          <w:color w:val="000000"/>
          <w:szCs w:val="23"/>
        </w:rPr>
        <w:t>report that describes the life cycles of the diatoms and copepods shown, or suspected, to be adversely impacted by ammoni</w:t>
      </w:r>
      <w:r w:rsidR="00D004F8">
        <w:rPr>
          <w:rFonts w:cs="Arial"/>
          <w:color w:val="000000"/>
          <w:szCs w:val="23"/>
        </w:rPr>
        <w:t>um</w:t>
      </w:r>
      <w:r w:rsidR="00634CE0" w:rsidRPr="00634CE0">
        <w:rPr>
          <w:rFonts w:cs="Arial"/>
          <w:color w:val="000000"/>
          <w:szCs w:val="23"/>
        </w:rPr>
        <w:t xml:space="preserve"> (e.g., feeding, reproduction, salinity tolerances, population dynamics, etc.)</w:t>
      </w:r>
      <w:r w:rsidR="00405987">
        <w:rPr>
          <w:rFonts w:cs="Arial"/>
          <w:color w:val="000000"/>
          <w:szCs w:val="23"/>
        </w:rPr>
        <w:t>;</w:t>
      </w:r>
      <w:r w:rsidR="00634CE0" w:rsidRPr="00634CE0">
        <w:rPr>
          <w:rFonts w:cs="Arial"/>
          <w:color w:val="000000"/>
          <w:szCs w:val="23"/>
        </w:rPr>
        <w:t xml:space="preserve"> summarizes available information regarding the potential impacts of ammoni</w:t>
      </w:r>
      <w:r w:rsidR="00D004F8">
        <w:rPr>
          <w:rFonts w:cs="Arial"/>
          <w:color w:val="000000"/>
          <w:szCs w:val="23"/>
        </w:rPr>
        <w:t>um</w:t>
      </w:r>
      <w:r w:rsidR="00634CE0" w:rsidRPr="00634CE0">
        <w:rPr>
          <w:rFonts w:cs="Arial"/>
          <w:color w:val="000000"/>
          <w:szCs w:val="23"/>
        </w:rPr>
        <w:t xml:space="preserve"> on these biological resources (e.g., toxicity and other adverse effects)</w:t>
      </w:r>
      <w:r w:rsidR="00405987">
        <w:rPr>
          <w:rFonts w:cs="Arial"/>
          <w:color w:val="000000"/>
          <w:szCs w:val="23"/>
        </w:rPr>
        <w:t xml:space="preserve">; explores the potential role of nutrients and other stressors in the system; and </w:t>
      </w:r>
      <w:r w:rsidR="00634CE0" w:rsidRPr="00C23757">
        <w:rPr>
          <w:rFonts w:cs="Arial"/>
          <w:color w:val="000000"/>
          <w:szCs w:val="23"/>
        </w:rPr>
        <w:t>identifies remaining critical information gaps, and proposes studies to address these gaps</w:t>
      </w:r>
      <w:r w:rsidR="00B67CE0" w:rsidRPr="00C23757">
        <w:rPr>
          <w:rFonts w:cs="Arial"/>
          <w:color w:val="000000"/>
          <w:szCs w:val="23"/>
        </w:rPr>
        <w:t xml:space="preserve">. </w:t>
      </w:r>
      <w:r w:rsidR="00A774D6" w:rsidRPr="00C23757">
        <w:rPr>
          <w:rFonts w:cs="Arial"/>
          <w:color w:val="000000"/>
          <w:szCs w:val="23"/>
        </w:rPr>
        <w:t xml:space="preserve"> </w:t>
      </w:r>
      <w:r w:rsidR="008E10BA" w:rsidRPr="00C23757">
        <w:rPr>
          <w:rFonts w:cs="Arial"/>
          <w:color w:val="000000"/>
          <w:szCs w:val="23"/>
        </w:rPr>
        <w:t>Work will commence on Task 4.2 in 2012, but deliverables are due in 2013, and additional funding will be required in 2013 to finalize this Task.</w:t>
      </w:r>
    </w:p>
    <w:p w:rsidR="00B67CE0" w:rsidRPr="0008130C" w:rsidRDefault="00B67CE0" w:rsidP="008A1F47">
      <w:pPr>
        <w:rPr>
          <w:rFonts w:cs="Arial"/>
          <w:i/>
          <w:color w:val="000000"/>
          <w:szCs w:val="23"/>
        </w:rPr>
      </w:pPr>
      <w:r w:rsidRPr="0008130C">
        <w:rPr>
          <w:rFonts w:cs="Arial"/>
          <w:i/>
          <w:color w:val="000000"/>
          <w:szCs w:val="23"/>
        </w:rPr>
        <w:t xml:space="preserve">Task </w:t>
      </w:r>
      <w:r w:rsidR="00245F22">
        <w:rPr>
          <w:rFonts w:cs="Arial"/>
          <w:i/>
          <w:color w:val="000000"/>
          <w:szCs w:val="23"/>
        </w:rPr>
        <w:t>4</w:t>
      </w:r>
      <w:r w:rsidRPr="0008130C">
        <w:rPr>
          <w:rFonts w:cs="Arial"/>
          <w:i/>
          <w:color w:val="000000"/>
          <w:szCs w:val="23"/>
        </w:rPr>
        <w:t>.</w:t>
      </w:r>
      <w:r w:rsidR="001A6169" w:rsidRPr="0008130C">
        <w:rPr>
          <w:rFonts w:cs="Arial"/>
          <w:i/>
          <w:color w:val="000000"/>
          <w:szCs w:val="23"/>
        </w:rPr>
        <w:t>3</w:t>
      </w:r>
      <w:r w:rsidRPr="0008130C">
        <w:rPr>
          <w:rFonts w:cs="Arial"/>
          <w:i/>
          <w:color w:val="000000"/>
          <w:szCs w:val="23"/>
        </w:rPr>
        <w:t xml:space="preserve"> Deliverables</w:t>
      </w:r>
    </w:p>
    <w:p w:rsidR="00B67CE0" w:rsidRDefault="00245F22" w:rsidP="008A1F47">
      <w:pPr>
        <w:rPr>
          <w:rFonts w:cs="Arial"/>
          <w:color w:val="000000"/>
          <w:szCs w:val="23"/>
        </w:rPr>
      </w:pPr>
      <w:r>
        <w:rPr>
          <w:rFonts w:cs="Arial"/>
          <w:color w:val="000000"/>
          <w:szCs w:val="23"/>
        </w:rPr>
        <w:t>4</w:t>
      </w:r>
      <w:r w:rsidR="00B67CE0">
        <w:rPr>
          <w:rFonts w:cs="Arial"/>
          <w:color w:val="000000"/>
          <w:szCs w:val="23"/>
        </w:rPr>
        <w:t>.</w:t>
      </w:r>
      <w:r w:rsidR="00052411">
        <w:rPr>
          <w:rFonts w:cs="Arial"/>
          <w:color w:val="000000"/>
          <w:szCs w:val="23"/>
        </w:rPr>
        <w:t>2</w:t>
      </w:r>
      <w:r w:rsidR="00B67CE0">
        <w:rPr>
          <w:rFonts w:cs="Arial"/>
          <w:color w:val="000000"/>
          <w:szCs w:val="23"/>
        </w:rPr>
        <w:t xml:space="preserve">.1 </w:t>
      </w:r>
      <w:r w:rsidR="0008130C">
        <w:rPr>
          <w:rFonts w:cs="Arial"/>
          <w:color w:val="000000"/>
          <w:szCs w:val="23"/>
        </w:rPr>
        <w:tab/>
      </w:r>
      <w:r w:rsidR="00B67CE0">
        <w:rPr>
          <w:rFonts w:cs="Arial"/>
          <w:color w:val="000000"/>
          <w:szCs w:val="23"/>
        </w:rPr>
        <w:t xml:space="preserve">Draft </w:t>
      </w:r>
      <w:r w:rsidR="0075211E">
        <w:rPr>
          <w:rFonts w:cs="Arial"/>
          <w:color w:val="000000"/>
          <w:szCs w:val="23"/>
        </w:rPr>
        <w:t>technical</w:t>
      </w:r>
      <w:r w:rsidR="00B67CE0">
        <w:rPr>
          <w:rFonts w:cs="Arial"/>
          <w:color w:val="000000"/>
          <w:szCs w:val="23"/>
        </w:rPr>
        <w:t xml:space="preserve"> report</w:t>
      </w:r>
    </w:p>
    <w:p w:rsidR="00B67CE0" w:rsidRDefault="00245F22" w:rsidP="008A1F47">
      <w:pPr>
        <w:rPr>
          <w:rFonts w:cs="Arial"/>
          <w:color w:val="000000"/>
          <w:szCs w:val="23"/>
        </w:rPr>
      </w:pPr>
      <w:r>
        <w:rPr>
          <w:rFonts w:cs="Arial"/>
          <w:color w:val="000000"/>
          <w:szCs w:val="23"/>
        </w:rPr>
        <w:t>4</w:t>
      </w:r>
      <w:r w:rsidR="00B67CE0">
        <w:rPr>
          <w:rFonts w:cs="Arial"/>
          <w:color w:val="000000"/>
          <w:szCs w:val="23"/>
        </w:rPr>
        <w:t>.</w:t>
      </w:r>
      <w:r w:rsidR="00052411">
        <w:rPr>
          <w:rFonts w:cs="Arial"/>
          <w:color w:val="000000"/>
          <w:szCs w:val="23"/>
        </w:rPr>
        <w:t>2</w:t>
      </w:r>
      <w:r w:rsidR="00B67CE0">
        <w:rPr>
          <w:rFonts w:cs="Arial"/>
          <w:color w:val="000000"/>
          <w:szCs w:val="23"/>
        </w:rPr>
        <w:t>.2</w:t>
      </w:r>
      <w:r w:rsidR="0008130C">
        <w:rPr>
          <w:rFonts w:cs="Arial"/>
          <w:color w:val="000000"/>
          <w:szCs w:val="23"/>
        </w:rPr>
        <w:tab/>
      </w:r>
      <w:r w:rsidR="00B67CE0">
        <w:rPr>
          <w:rFonts w:cs="Arial"/>
          <w:color w:val="000000"/>
          <w:szCs w:val="23"/>
        </w:rPr>
        <w:t>Final technical report that incorporates, to the extent possible, stakeholder comments</w:t>
      </w:r>
    </w:p>
    <w:p w:rsidR="00830FF5" w:rsidRDefault="00830FF5" w:rsidP="00E627A3">
      <w:pPr>
        <w:spacing w:after="120"/>
        <w:rPr>
          <w:rFonts w:cs="Arial"/>
          <w:b/>
          <w:color w:val="000000"/>
          <w:szCs w:val="23"/>
        </w:rPr>
      </w:pPr>
    </w:p>
    <w:p w:rsidR="00B67CE0" w:rsidRPr="0008130C" w:rsidRDefault="00FB44D2" w:rsidP="00E627A3">
      <w:pPr>
        <w:spacing w:after="120"/>
        <w:rPr>
          <w:rFonts w:cs="Arial"/>
          <w:b/>
          <w:color w:val="000000"/>
          <w:szCs w:val="23"/>
        </w:rPr>
      </w:pPr>
      <w:r>
        <w:rPr>
          <w:rFonts w:cs="Arial"/>
          <w:b/>
          <w:color w:val="000000"/>
          <w:szCs w:val="23"/>
        </w:rPr>
        <w:br w:type="column"/>
      </w:r>
      <w:r w:rsidR="00D004F8">
        <w:rPr>
          <w:rFonts w:cs="Arial"/>
          <w:b/>
          <w:color w:val="000000"/>
          <w:szCs w:val="23"/>
        </w:rPr>
        <w:lastRenderedPageBreak/>
        <w:t>Subt</w:t>
      </w:r>
      <w:r w:rsidR="00BD3428">
        <w:rPr>
          <w:rFonts w:cs="Arial"/>
          <w:b/>
          <w:color w:val="000000"/>
          <w:szCs w:val="23"/>
        </w:rPr>
        <w:t xml:space="preserve">ask </w:t>
      </w:r>
      <w:r w:rsidR="00D004F8">
        <w:rPr>
          <w:rFonts w:cs="Arial"/>
          <w:b/>
          <w:color w:val="000000"/>
          <w:szCs w:val="23"/>
        </w:rPr>
        <w:t>4</w:t>
      </w:r>
      <w:r w:rsidR="00BD3428">
        <w:rPr>
          <w:rFonts w:cs="Arial"/>
          <w:b/>
          <w:color w:val="000000"/>
          <w:szCs w:val="23"/>
        </w:rPr>
        <w:t>.3</w:t>
      </w:r>
      <w:r w:rsidR="00B67CE0" w:rsidRPr="0008130C">
        <w:rPr>
          <w:rFonts w:cs="Arial"/>
          <w:b/>
          <w:color w:val="000000"/>
          <w:szCs w:val="23"/>
        </w:rPr>
        <w:t xml:space="preserve"> Suisun Bay Modeling </w:t>
      </w:r>
    </w:p>
    <w:p w:rsidR="004144F3" w:rsidRPr="004144F3" w:rsidRDefault="003C1971" w:rsidP="004144F3">
      <w:pPr>
        <w:pStyle w:val="NormalWeb"/>
        <w:spacing w:before="2" w:after="2"/>
        <w:rPr>
          <w:rFonts w:ascii="Cambria" w:hAnsi="Cambria"/>
          <w:sz w:val="24"/>
          <w:szCs w:val="24"/>
        </w:rPr>
      </w:pPr>
      <w:r>
        <w:rPr>
          <w:rFonts w:ascii="Cambria" w:hAnsi="Cambria"/>
          <w:sz w:val="24"/>
          <w:szCs w:val="24"/>
        </w:rPr>
        <w:t xml:space="preserve">A third work product will be a Suisun Bay model, provided that funding is available beyond 2012. </w:t>
      </w:r>
      <w:r w:rsidR="000F5862">
        <w:rPr>
          <w:rFonts w:ascii="Cambria" w:hAnsi="Cambria"/>
          <w:sz w:val="24"/>
          <w:szCs w:val="24"/>
        </w:rPr>
        <w:t>Among</w:t>
      </w:r>
      <w:r w:rsidR="004144F3">
        <w:rPr>
          <w:rFonts w:ascii="Cambria" w:hAnsi="Cambria"/>
          <w:sz w:val="24"/>
          <w:szCs w:val="24"/>
        </w:rPr>
        <w:t xml:space="preserve"> questions that need to be explored through this effort include: </w:t>
      </w:r>
      <w:r w:rsidR="004144F3" w:rsidRPr="004144F3">
        <w:rPr>
          <w:rFonts w:ascii="Cambria" w:hAnsi="Cambria"/>
          <w:sz w:val="24"/>
          <w:szCs w:val="24"/>
        </w:rPr>
        <w:t>the extent to which loads from CCCSD and DDSD, and other discharges, affect</w:t>
      </w:r>
    </w:p>
    <w:p w:rsidR="004144F3" w:rsidRPr="004144F3" w:rsidRDefault="004144F3" w:rsidP="004144F3">
      <w:pPr>
        <w:pStyle w:val="NormalWeb"/>
        <w:spacing w:before="2" w:after="2"/>
        <w:rPr>
          <w:rFonts w:ascii="Cambria" w:hAnsi="Cambria"/>
          <w:sz w:val="24"/>
          <w:szCs w:val="24"/>
        </w:rPr>
      </w:pPr>
      <w:r w:rsidRPr="004144F3">
        <w:rPr>
          <w:rFonts w:ascii="Cambria" w:hAnsi="Cambria"/>
          <w:sz w:val="24"/>
          <w:szCs w:val="24"/>
        </w:rPr>
        <w:t>ammonia/ammonium concentrations in different parts of Suisun Bay and over</w:t>
      </w:r>
    </w:p>
    <w:p w:rsidR="004144F3" w:rsidRDefault="000F5862" w:rsidP="004144F3">
      <w:pPr>
        <w:pStyle w:val="NormalWeb"/>
        <w:spacing w:beforeLines="0" w:afterLines="0"/>
        <w:rPr>
          <w:rFonts w:ascii="Cambria" w:hAnsi="Cambria"/>
          <w:sz w:val="24"/>
          <w:szCs w:val="24"/>
        </w:rPr>
      </w:pPr>
      <w:r>
        <w:rPr>
          <w:rFonts w:ascii="Cambria" w:hAnsi="Cambria"/>
          <w:sz w:val="24"/>
          <w:szCs w:val="24"/>
        </w:rPr>
        <w:t xml:space="preserve">different seasons, and </w:t>
      </w:r>
      <w:r w:rsidR="004144F3" w:rsidRPr="004144F3">
        <w:rPr>
          <w:rFonts w:ascii="Cambria" w:hAnsi="Cambria"/>
          <w:sz w:val="24"/>
          <w:szCs w:val="24"/>
        </w:rPr>
        <w:t>the impact of other ammonium sources on ammonia/ammonium concentrations</w:t>
      </w:r>
      <w:r w:rsidR="004144F3">
        <w:rPr>
          <w:rFonts w:ascii="Cambria" w:hAnsi="Cambria"/>
          <w:sz w:val="24"/>
          <w:szCs w:val="24"/>
        </w:rPr>
        <w:t xml:space="preserve"> </w:t>
      </w:r>
      <w:r w:rsidR="004144F3" w:rsidRPr="004144F3">
        <w:rPr>
          <w:rFonts w:ascii="Cambria" w:hAnsi="Cambria"/>
          <w:sz w:val="24"/>
          <w:szCs w:val="24"/>
        </w:rPr>
        <w:t>(e.g., including sediment flux</w:t>
      </w:r>
      <w:r w:rsidR="004144F3">
        <w:rPr>
          <w:rFonts w:ascii="Cambria" w:hAnsi="Cambria"/>
          <w:sz w:val="24"/>
          <w:szCs w:val="24"/>
        </w:rPr>
        <w:t xml:space="preserve"> and agricultural inputs</w:t>
      </w:r>
      <w:r w:rsidR="004144F3" w:rsidRPr="004144F3">
        <w:rPr>
          <w:rFonts w:ascii="Cambria" w:hAnsi="Cambria"/>
          <w:sz w:val="24"/>
          <w:szCs w:val="24"/>
        </w:rPr>
        <w:t>)</w:t>
      </w:r>
      <w:r w:rsidR="004144F3">
        <w:rPr>
          <w:rFonts w:ascii="Cambria" w:hAnsi="Cambria"/>
          <w:sz w:val="24"/>
          <w:szCs w:val="24"/>
        </w:rPr>
        <w:t>.</w:t>
      </w:r>
      <w:r w:rsidR="004144F3" w:rsidRPr="004144F3">
        <w:rPr>
          <w:rFonts w:ascii="Cambria" w:hAnsi="Cambria"/>
          <w:sz w:val="24"/>
          <w:szCs w:val="24"/>
        </w:rPr>
        <w:t xml:space="preserve"> </w:t>
      </w:r>
      <w:r w:rsidR="003C1971">
        <w:rPr>
          <w:rFonts w:ascii="Cambria" w:hAnsi="Cambria"/>
          <w:sz w:val="24"/>
          <w:szCs w:val="24"/>
        </w:rPr>
        <w:t xml:space="preserve">The efforts </w:t>
      </w:r>
      <w:r>
        <w:rPr>
          <w:rFonts w:ascii="Cambria" w:hAnsi="Cambria"/>
          <w:sz w:val="24"/>
          <w:szCs w:val="24"/>
        </w:rPr>
        <w:t>in Task 3.1, 3.2, 4.1 and 4.2, and</w:t>
      </w:r>
      <w:r w:rsidR="009A75FE">
        <w:rPr>
          <w:rFonts w:ascii="Cambria" w:hAnsi="Cambria"/>
          <w:sz w:val="24"/>
          <w:szCs w:val="24"/>
        </w:rPr>
        <w:t xml:space="preserve"> the RMP funded conceptual model study</w:t>
      </w:r>
      <w:r w:rsidR="003805B7">
        <w:rPr>
          <w:rFonts w:ascii="Cambria" w:hAnsi="Cambria"/>
          <w:sz w:val="24"/>
          <w:szCs w:val="24"/>
        </w:rPr>
        <w:t>,</w:t>
      </w:r>
      <w:r w:rsidR="009A75FE">
        <w:rPr>
          <w:rFonts w:ascii="Cambria" w:hAnsi="Cambria"/>
          <w:sz w:val="24"/>
          <w:szCs w:val="24"/>
        </w:rPr>
        <w:t xml:space="preserve"> </w:t>
      </w:r>
      <w:r w:rsidR="003C1971">
        <w:rPr>
          <w:rFonts w:ascii="Cambria" w:hAnsi="Cambria"/>
          <w:sz w:val="24"/>
          <w:szCs w:val="24"/>
        </w:rPr>
        <w:t xml:space="preserve">should </w:t>
      </w:r>
      <w:r w:rsidR="004144F3">
        <w:rPr>
          <w:rFonts w:ascii="Cambria" w:hAnsi="Cambria"/>
          <w:sz w:val="24"/>
          <w:szCs w:val="24"/>
        </w:rPr>
        <w:t>further clarify</w:t>
      </w:r>
      <w:r w:rsidR="003C1971">
        <w:rPr>
          <w:rFonts w:ascii="Cambria" w:hAnsi="Cambria"/>
          <w:sz w:val="24"/>
          <w:szCs w:val="24"/>
        </w:rPr>
        <w:t xml:space="preserve"> key questions that need t</w:t>
      </w:r>
      <w:r w:rsidR="004144F3">
        <w:rPr>
          <w:rFonts w:ascii="Cambria" w:hAnsi="Cambria"/>
          <w:sz w:val="24"/>
          <w:szCs w:val="24"/>
        </w:rPr>
        <w:t xml:space="preserve">o be addressed through modeling, including nutrient dynamics within the system and </w:t>
      </w:r>
      <w:r w:rsidR="003C1971">
        <w:rPr>
          <w:rFonts w:ascii="Cambria" w:hAnsi="Cambria"/>
          <w:sz w:val="24"/>
          <w:szCs w:val="24"/>
        </w:rPr>
        <w:t>linkage</w:t>
      </w:r>
      <w:r w:rsidR="009A75FE">
        <w:rPr>
          <w:rFonts w:ascii="Cambria" w:hAnsi="Cambria"/>
          <w:sz w:val="24"/>
          <w:szCs w:val="24"/>
        </w:rPr>
        <w:t>s to biological endpoints</w:t>
      </w:r>
      <w:r w:rsidR="004144F3">
        <w:rPr>
          <w:rFonts w:ascii="Cambria" w:hAnsi="Cambria"/>
          <w:sz w:val="24"/>
          <w:szCs w:val="24"/>
        </w:rPr>
        <w:t>.</w:t>
      </w:r>
      <w:r w:rsidR="003C1971">
        <w:rPr>
          <w:rFonts w:ascii="Cambria" w:hAnsi="Cambria"/>
          <w:sz w:val="24"/>
          <w:szCs w:val="24"/>
        </w:rPr>
        <w:t xml:space="preserve"> The model for Suisun Bay should ideally be consistent with the Bay‐Delta wide modeling plan. </w:t>
      </w:r>
    </w:p>
    <w:p w:rsidR="004144F3" w:rsidRDefault="004144F3" w:rsidP="004144F3">
      <w:pPr>
        <w:pStyle w:val="NormalWeb"/>
        <w:spacing w:before="2" w:after="2"/>
        <w:rPr>
          <w:rFonts w:ascii="Cambria" w:hAnsi="Cambria"/>
          <w:sz w:val="24"/>
          <w:szCs w:val="24"/>
        </w:rPr>
      </w:pPr>
      <w:r>
        <w:rPr>
          <w:rFonts w:ascii="Cambria" w:hAnsi="Cambria"/>
          <w:sz w:val="24"/>
          <w:szCs w:val="24"/>
        </w:rPr>
        <w:t>The main deliverables for this task include a final Suisun Bay model</w:t>
      </w:r>
      <w:r w:rsidR="001C103E">
        <w:rPr>
          <w:rFonts w:ascii="Cambria" w:hAnsi="Cambria"/>
          <w:sz w:val="24"/>
          <w:szCs w:val="24"/>
        </w:rPr>
        <w:t xml:space="preserve"> (4.3.1)</w:t>
      </w:r>
      <w:r>
        <w:rPr>
          <w:rFonts w:ascii="Cambria" w:hAnsi="Cambria"/>
          <w:sz w:val="24"/>
          <w:szCs w:val="24"/>
        </w:rPr>
        <w:t xml:space="preserve"> and a fi</w:t>
      </w:r>
      <w:r w:rsidR="001C103E">
        <w:rPr>
          <w:rFonts w:ascii="Cambria" w:hAnsi="Cambria"/>
          <w:sz w:val="24"/>
          <w:szCs w:val="24"/>
        </w:rPr>
        <w:t>nal Suisun Bay synthesis report (4.3.2).</w:t>
      </w:r>
      <w:r>
        <w:rPr>
          <w:rFonts w:ascii="Cambria" w:hAnsi="Cambria"/>
          <w:sz w:val="24"/>
          <w:szCs w:val="24"/>
        </w:rPr>
        <w:t xml:space="preserve">  While </w:t>
      </w:r>
      <w:r w:rsidR="001C103E">
        <w:rPr>
          <w:rFonts w:ascii="Cambria" w:hAnsi="Cambria"/>
          <w:sz w:val="24"/>
          <w:szCs w:val="24"/>
        </w:rPr>
        <w:t>several projects will be underway in 2012 that will provide valuable information to support eventual model development, f</w:t>
      </w:r>
      <w:r>
        <w:rPr>
          <w:rFonts w:ascii="Cambria" w:hAnsi="Cambria"/>
          <w:sz w:val="24"/>
          <w:szCs w:val="24"/>
        </w:rPr>
        <w:t>unding has not been se</w:t>
      </w:r>
      <w:r w:rsidR="001C103E">
        <w:rPr>
          <w:rFonts w:ascii="Cambria" w:hAnsi="Cambria"/>
          <w:sz w:val="24"/>
          <w:szCs w:val="24"/>
        </w:rPr>
        <w:t xml:space="preserve">cured for </w:t>
      </w:r>
      <w:r w:rsidR="008F5EEE">
        <w:rPr>
          <w:rFonts w:ascii="Cambria" w:hAnsi="Cambria"/>
          <w:sz w:val="24"/>
          <w:szCs w:val="24"/>
        </w:rPr>
        <w:t xml:space="preserve">Suisun Bay </w:t>
      </w:r>
      <w:r w:rsidR="001C103E">
        <w:rPr>
          <w:rFonts w:ascii="Cambria" w:hAnsi="Cambria"/>
          <w:sz w:val="24"/>
          <w:szCs w:val="24"/>
        </w:rPr>
        <w:t>model development or application.  Thus, this subtask and its deliverables are included here to indicate the path ahead, but they are not functionally part of this scope of work.</w:t>
      </w:r>
    </w:p>
    <w:p w:rsidR="003C1971" w:rsidRDefault="003C1971" w:rsidP="004144F3">
      <w:pPr>
        <w:pStyle w:val="NormalWeb"/>
        <w:spacing w:before="2" w:after="2"/>
      </w:pPr>
    </w:p>
    <w:p w:rsidR="001C103E" w:rsidRDefault="001C103E" w:rsidP="008A1F47">
      <w:pPr>
        <w:spacing w:after="120"/>
        <w:rPr>
          <w:rFonts w:cs="Arial"/>
          <w:i/>
          <w:color w:val="000000"/>
          <w:szCs w:val="23"/>
        </w:rPr>
      </w:pPr>
      <w:r w:rsidRPr="001C103E">
        <w:rPr>
          <w:rFonts w:cs="Arial"/>
          <w:i/>
          <w:color w:val="000000"/>
          <w:szCs w:val="23"/>
        </w:rPr>
        <w:t>Task 4.3 Deliverables</w:t>
      </w:r>
    </w:p>
    <w:p w:rsidR="001C103E" w:rsidRDefault="001C103E" w:rsidP="008A1F47">
      <w:pPr>
        <w:spacing w:after="120"/>
        <w:rPr>
          <w:rFonts w:cs="Arial"/>
          <w:color w:val="000000"/>
          <w:szCs w:val="23"/>
        </w:rPr>
      </w:pPr>
      <w:r>
        <w:rPr>
          <w:rFonts w:cs="Arial"/>
          <w:color w:val="000000"/>
          <w:szCs w:val="23"/>
        </w:rPr>
        <w:t>4.3.1 Final Suisun Bay Model (February 2014)</w:t>
      </w:r>
    </w:p>
    <w:p w:rsidR="00CB1705" w:rsidRPr="008A1F47" w:rsidRDefault="001C103E" w:rsidP="008A1F47">
      <w:pPr>
        <w:spacing w:after="120"/>
        <w:rPr>
          <w:b/>
        </w:rPr>
      </w:pPr>
      <w:r>
        <w:rPr>
          <w:rFonts w:cs="Arial"/>
          <w:color w:val="000000"/>
          <w:szCs w:val="23"/>
        </w:rPr>
        <w:t xml:space="preserve">4.3.2 </w:t>
      </w:r>
      <w:r w:rsidR="008F5EEE">
        <w:rPr>
          <w:rFonts w:cs="Arial"/>
          <w:color w:val="000000"/>
          <w:szCs w:val="23"/>
        </w:rPr>
        <w:t>Final Suisun Bay Synthesis Report (February 2016)</w:t>
      </w:r>
      <w:r w:rsidR="004144F3">
        <w:rPr>
          <w:rFonts w:cs="Arial"/>
          <w:color w:val="000000"/>
          <w:szCs w:val="23"/>
        </w:rPr>
        <w:br w:type="column"/>
      </w:r>
      <w:r w:rsidR="005A7CCB">
        <w:rPr>
          <w:rFonts w:cs="Arial"/>
          <w:color w:val="000000"/>
          <w:szCs w:val="23"/>
        </w:rPr>
        <w:lastRenderedPageBreak/>
        <w:t>2</w:t>
      </w:r>
      <w:r w:rsidR="00CC3976" w:rsidRPr="008A1F47">
        <w:rPr>
          <w:b/>
        </w:rPr>
        <w:t xml:space="preserve">. </w:t>
      </w:r>
      <w:r w:rsidR="00CB1705" w:rsidRPr="008A1F47">
        <w:rPr>
          <w:b/>
        </w:rPr>
        <w:t>Schedule of Deliverables</w:t>
      </w:r>
    </w:p>
    <w:p w:rsidR="003C5E5D" w:rsidRPr="00A33B91" w:rsidRDefault="00A33B91" w:rsidP="00830FF5">
      <w:pPr>
        <w:pStyle w:val="Default"/>
        <w:tabs>
          <w:tab w:val="left" w:pos="360"/>
        </w:tabs>
      </w:pPr>
      <w:r>
        <w:t xml:space="preserve">All dates assume an effective start date of February 1 2012, and may need to be adjusted depending on actual </w:t>
      </w:r>
      <w:r w:rsidR="0007087A">
        <w:t>project start date.</w:t>
      </w:r>
    </w:p>
    <w:tbl>
      <w:tblPr>
        <w:tblStyle w:val="TableGrid"/>
        <w:tblW w:w="0" w:type="auto"/>
        <w:tblLayout w:type="fixed"/>
        <w:tblLook w:val="00BF" w:firstRow="1" w:lastRow="0" w:firstColumn="1" w:lastColumn="0" w:noHBand="0" w:noVBand="0"/>
      </w:tblPr>
      <w:tblGrid>
        <w:gridCol w:w="828"/>
        <w:gridCol w:w="4140"/>
        <w:gridCol w:w="2250"/>
        <w:gridCol w:w="1440"/>
      </w:tblGrid>
      <w:tr w:rsidR="006B0090">
        <w:tc>
          <w:tcPr>
            <w:tcW w:w="4968" w:type="dxa"/>
            <w:gridSpan w:val="2"/>
            <w:vAlign w:val="center"/>
          </w:tcPr>
          <w:p w:rsidR="006B0090" w:rsidRPr="00B74692" w:rsidRDefault="006B0090" w:rsidP="0044674C">
            <w:pPr>
              <w:pStyle w:val="Default"/>
              <w:tabs>
                <w:tab w:val="left" w:pos="360"/>
              </w:tabs>
              <w:jc w:val="center"/>
              <w:rPr>
                <w:b/>
              </w:rPr>
            </w:pPr>
            <w:r w:rsidRPr="00B74692">
              <w:rPr>
                <w:b/>
              </w:rPr>
              <w:t>Deliverable</w:t>
            </w:r>
          </w:p>
        </w:tc>
        <w:tc>
          <w:tcPr>
            <w:tcW w:w="2250" w:type="dxa"/>
            <w:vAlign w:val="center"/>
          </w:tcPr>
          <w:p w:rsidR="006B0090" w:rsidRPr="00B74692" w:rsidRDefault="0044674C" w:rsidP="0044674C">
            <w:pPr>
              <w:pStyle w:val="Default"/>
              <w:tabs>
                <w:tab w:val="left" w:pos="360"/>
              </w:tabs>
              <w:jc w:val="center"/>
              <w:rPr>
                <w:b/>
              </w:rPr>
            </w:pPr>
            <w:r w:rsidRPr="00B74692">
              <w:rPr>
                <w:b/>
              </w:rPr>
              <w:t>Due Date</w:t>
            </w:r>
          </w:p>
        </w:tc>
        <w:tc>
          <w:tcPr>
            <w:tcW w:w="1440" w:type="dxa"/>
            <w:vAlign w:val="center"/>
          </w:tcPr>
          <w:p w:rsidR="006B0090" w:rsidRPr="00B74692" w:rsidRDefault="00243BF5" w:rsidP="0044674C">
            <w:pPr>
              <w:pStyle w:val="Default"/>
              <w:tabs>
                <w:tab w:val="left" w:pos="360"/>
              </w:tabs>
              <w:jc w:val="center"/>
              <w:rPr>
                <w:b/>
              </w:rPr>
            </w:pPr>
            <w:r w:rsidRPr="00B74692">
              <w:rPr>
                <w:b/>
              </w:rPr>
              <w:t xml:space="preserve">Estimated </w:t>
            </w:r>
            <w:r w:rsidR="0044674C" w:rsidRPr="00B74692">
              <w:rPr>
                <w:b/>
              </w:rPr>
              <w:t>%complete in 2012</w:t>
            </w:r>
          </w:p>
        </w:tc>
      </w:tr>
      <w:tr w:rsidR="0044674C">
        <w:trPr>
          <w:trHeight w:val="504"/>
        </w:trPr>
        <w:tc>
          <w:tcPr>
            <w:tcW w:w="828" w:type="dxa"/>
            <w:vAlign w:val="center"/>
          </w:tcPr>
          <w:p w:rsidR="0044674C" w:rsidRPr="00F04606" w:rsidRDefault="0044674C" w:rsidP="003C5E5D">
            <w:pPr>
              <w:pStyle w:val="Default"/>
              <w:tabs>
                <w:tab w:val="left" w:pos="360"/>
              </w:tabs>
            </w:pPr>
            <w:r>
              <w:t>1.1.1</w:t>
            </w:r>
          </w:p>
        </w:tc>
        <w:tc>
          <w:tcPr>
            <w:tcW w:w="4140" w:type="dxa"/>
            <w:vAlign w:val="center"/>
          </w:tcPr>
          <w:p w:rsidR="0044674C" w:rsidRDefault="0044674C" w:rsidP="00CC4089">
            <w:pPr>
              <w:pStyle w:val="Default"/>
              <w:tabs>
                <w:tab w:val="left" w:pos="360"/>
              </w:tabs>
            </w:pPr>
            <w:r>
              <w:t>Quarterly progress reports</w:t>
            </w:r>
          </w:p>
        </w:tc>
        <w:tc>
          <w:tcPr>
            <w:tcW w:w="2250" w:type="dxa"/>
            <w:vAlign w:val="center"/>
          </w:tcPr>
          <w:p w:rsidR="0044674C" w:rsidRDefault="0044674C" w:rsidP="009115B5">
            <w:pPr>
              <w:pStyle w:val="Default"/>
              <w:tabs>
                <w:tab w:val="left" w:pos="360"/>
              </w:tabs>
            </w:pPr>
            <w:r>
              <w:t>Quarterly by 20</w:t>
            </w:r>
            <w:r w:rsidRPr="00362BE1">
              <w:rPr>
                <w:vertAlign w:val="superscript"/>
              </w:rPr>
              <w:t>th</w:t>
            </w:r>
            <w:r>
              <w:t xml:space="preserve"> of January, April, July, and October</w:t>
            </w:r>
          </w:p>
        </w:tc>
        <w:tc>
          <w:tcPr>
            <w:tcW w:w="1440" w:type="dxa"/>
            <w:vAlign w:val="center"/>
          </w:tcPr>
          <w:p w:rsidR="0044674C" w:rsidRDefault="0044674C" w:rsidP="00793575">
            <w:pPr>
              <w:pStyle w:val="Default"/>
              <w:tabs>
                <w:tab w:val="left" w:pos="360"/>
              </w:tabs>
              <w:jc w:val="center"/>
            </w:pPr>
            <w:r>
              <w:t>100%</w:t>
            </w:r>
          </w:p>
        </w:tc>
      </w:tr>
      <w:tr w:rsidR="0044674C">
        <w:trPr>
          <w:trHeight w:val="504"/>
        </w:trPr>
        <w:tc>
          <w:tcPr>
            <w:tcW w:w="828" w:type="dxa"/>
            <w:vAlign w:val="center"/>
          </w:tcPr>
          <w:p w:rsidR="0044674C" w:rsidRPr="00F04606" w:rsidRDefault="0044674C" w:rsidP="003C5E5D">
            <w:pPr>
              <w:pStyle w:val="Default"/>
              <w:tabs>
                <w:tab w:val="left" w:pos="360"/>
              </w:tabs>
            </w:pPr>
            <w:r>
              <w:t>2</w:t>
            </w:r>
            <w:r w:rsidRPr="00F04606">
              <w:t xml:space="preserve">.1.1 </w:t>
            </w:r>
          </w:p>
        </w:tc>
        <w:tc>
          <w:tcPr>
            <w:tcW w:w="4140" w:type="dxa"/>
            <w:vAlign w:val="center"/>
          </w:tcPr>
          <w:p w:rsidR="0044674C" w:rsidRPr="00F04606" w:rsidRDefault="0044674C" w:rsidP="00CC4089">
            <w:pPr>
              <w:pStyle w:val="Default"/>
              <w:tabs>
                <w:tab w:val="left" w:pos="360"/>
              </w:tabs>
            </w:pPr>
            <w:r>
              <w:t>Stakeholder group meeting agendas, powerpoint presentations, and meeting summaries</w:t>
            </w:r>
          </w:p>
        </w:tc>
        <w:tc>
          <w:tcPr>
            <w:tcW w:w="2250" w:type="dxa"/>
            <w:vAlign w:val="center"/>
          </w:tcPr>
          <w:p w:rsidR="0044674C" w:rsidRPr="00F04606" w:rsidRDefault="0044674C" w:rsidP="003C5E5D">
            <w:pPr>
              <w:pStyle w:val="Default"/>
              <w:tabs>
                <w:tab w:val="left" w:pos="360"/>
              </w:tabs>
            </w:pPr>
            <w:r>
              <w:t>Up to 4 meetings and materials in 2012</w:t>
            </w:r>
          </w:p>
        </w:tc>
        <w:tc>
          <w:tcPr>
            <w:tcW w:w="1440" w:type="dxa"/>
            <w:vAlign w:val="center"/>
          </w:tcPr>
          <w:p w:rsidR="0044674C" w:rsidRPr="00F04606" w:rsidRDefault="0044674C" w:rsidP="00793575">
            <w:pPr>
              <w:pStyle w:val="Default"/>
              <w:tabs>
                <w:tab w:val="left" w:pos="360"/>
              </w:tabs>
              <w:jc w:val="center"/>
            </w:pPr>
            <w:r>
              <w:t>100%</w:t>
            </w:r>
          </w:p>
        </w:tc>
      </w:tr>
      <w:tr w:rsidR="0044674C">
        <w:trPr>
          <w:trHeight w:val="504"/>
        </w:trPr>
        <w:tc>
          <w:tcPr>
            <w:tcW w:w="828" w:type="dxa"/>
            <w:vAlign w:val="center"/>
          </w:tcPr>
          <w:p w:rsidR="0044674C" w:rsidRPr="00F04606" w:rsidRDefault="0044674C" w:rsidP="003C5E5D">
            <w:pPr>
              <w:pStyle w:val="Default"/>
              <w:tabs>
                <w:tab w:val="left" w:pos="360"/>
              </w:tabs>
            </w:pPr>
            <w:r>
              <w:t>2.2.1</w:t>
            </w:r>
          </w:p>
        </w:tc>
        <w:tc>
          <w:tcPr>
            <w:tcW w:w="4140" w:type="dxa"/>
            <w:vAlign w:val="center"/>
          </w:tcPr>
          <w:p w:rsidR="0044674C" w:rsidRPr="00F04606" w:rsidRDefault="0044674C" w:rsidP="003C5E5D">
            <w:pPr>
              <w:pStyle w:val="Default"/>
              <w:tabs>
                <w:tab w:val="left" w:pos="360"/>
              </w:tabs>
            </w:pPr>
            <w:r>
              <w:t>Final nutrient strategy</w:t>
            </w:r>
          </w:p>
        </w:tc>
        <w:tc>
          <w:tcPr>
            <w:tcW w:w="2250" w:type="dxa"/>
            <w:vAlign w:val="center"/>
          </w:tcPr>
          <w:p w:rsidR="0044674C" w:rsidRPr="00F04606" w:rsidRDefault="0044674C" w:rsidP="003C5E5D">
            <w:pPr>
              <w:pStyle w:val="Default"/>
              <w:tabs>
                <w:tab w:val="left" w:pos="360"/>
              </w:tabs>
            </w:pPr>
            <w:r>
              <w:t>November 2012</w:t>
            </w:r>
          </w:p>
        </w:tc>
        <w:tc>
          <w:tcPr>
            <w:tcW w:w="1440" w:type="dxa"/>
            <w:vAlign w:val="center"/>
          </w:tcPr>
          <w:p w:rsidR="0044674C" w:rsidRPr="00F04606" w:rsidRDefault="0044674C" w:rsidP="00793575">
            <w:pPr>
              <w:pStyle w:val="Default"/>
              <w:tabs>
                <w:tab w:val="left" w:pos="360"/>
              </w:tabs>
              <w:jc w:val="center"/>
            </w:pPr>
            <w:r>
              <w:t>100%</w:t>
            </w:r>
          </w:p>
        </w:tc>
      </w:tr>
      <w:tr w:rsidR="0044674C">
        <w:trPr>
          <w:trHeight w:val="504"/>
        </w:trPr>
        <w:tc>
          <w:tcPr>
            <w:tcW w:w="828" w:type="dxa"/>
            <w:vAlign w:val="center"/>
          </w:tcPr>
          <w:p w:rsidR="0044674C" w:rsidRPr="00F04606" w:rsidRDefault="0044674C" w:rsidP="003C5E5D">
            <w:pPr>
              <w:pStyle w:val="Default"/>
              <w:tabs>
                <w:tab w:val="left" w:pos="360"/>
              </w:tabs>
            </w:pPr>
            <w:r>
              <w:t>2.3.1</w:t>
            </w:r>
          </w:p>
        </w:tc>
        <w:tc>
          <w:tcPr>
            <w:tcW w:w="4140" w:type="dxa"/>
            <w:vAlign w:val="center"/>
          </w:tcPr>
          <w:p w:rsidR="0044674C" w:rsidRPr="00F04606" w:rsidRDefault="0044674C" w:rsidP="003C5E5D">
            <w:pPr>
              <w:pStyle w:val="Default"/>
              <w:tabs>
                <w:tab w:val="left" w:pos="360"/>
              </w:tabs>
            </w:pPr>
            <w:r>
              <w:t>SF Bay Nutrient Website</w:t>
            </w:r>
          </w:p>
        </w:tc>
        <w:tc>
          <w:tcPr>
            <w:tcW w:w="2250" w:type="dxa"/>
            <w:vAlign w:val="center"/>
          </w:tcPr>
          <w:p w:rsidR="0044674C" w:rsidRPr="00F04606" w:rsidRDefault="0044674C" w:rsidP="003C5E5D">
            <w:pPr>
              <w:pStyle w:val="Default"/>
              <w:tabs>
                <w:tab w:val="left" w:pos="360"/>
              </w:tabs>
            </w:pPr>
            <w:r>
              <w:t>April 2012</w:t>
            </w:r>
          </w:p>
        </w:tc>
        <w:tc>
          <w:tcPr>
            <w:tcW w:w="1440" w:type="dxa"/>
            <w:vAlign w:val="center"/>
          </w:tcPr>
          <w:p w:rsidR="0044674C" w:rsidRPr="00F04606" w:rsidRDefault="0044674C" w:rsidP="00793575">
            <w:pPr>
              <w:pStyle w:val="Default"/>
              <w:tabs>
                <w:tab w:val="left" w:pos="360"/>
              </w:tabs>
              <w:jc w:val="center"/>
            </w:pPr>
            <w:r>
              <w:t>100%</w:t>
            </w:r>
          </w:p>
        </w:tc>
      </w:tr>
      <w:tr w:rsidR="0044674C">
        <w:trPr>
          <w:trHeight w:val="504"/>
        </w:trPr>
        <w:tc>
          <w:tcPr>
            <w:tcW w:w="828" w:type="dxa"/>
            <w:vAlign w:val="center"/>
          </w:tcPr>
          <w:p w:rsidR="0044674C" w:rsidRPr="00F04606" w:rsidRDefault="0044674C" w:rsidP="003C5E5D">
            <w:pPr>
              <w:pStyle w:val="Default"/>
              <w:tabs>
                <w:tab w:val="left" w:pos="360"/>
              </w:tabs>
            </w:pPr>
            <w:r>
              <w:t>3.1.1</w:t>
            </w:r>
          </w:p>
        </w:tc>
        <w:tc>
          <w:tcPr>
            <w:tcW w:w="4140" w:type="dxa"/>
            <w:vAlign w:val="center"/>
          </w:tcPr>
          <w:p w:rsidR="0044674C" w:rsidRPr="00F04606" w:rsidRDefault="0044674C" w:rsidP="0007087A">
            <w:pPr>
              <w:pStyle w:val="Default"/>
              <w:tabs>
                <w:tab w:val="left" w:pos="360"/>
              </w:tabs>
            </w:pPr>
            <w:r>
              <w:t>Study plan – Suisun and South Bay numeric models</w:t>
            </w:r>
          </w:p>
        </w:tc>
        <w:tc>
          <w:tcPr>
            <w:tcW w:w="2250" w:type="dxa"/>
            <w:vAlign w:val="center"/>
          </w:tcPr>
          <w:p w:rsidR="0044674C" w:rsidRPr="00F04606" w:rsidRDefault="0044674C" w:rsidP="003C5E5D">
            <w:pPr>
              <w:pStyle w:val="Default"/>
              <w:tabs>
                <w:tab w:val="left" w:pos="360"/>
              </w:tabs>
            </w:pPr>
            <w:r>
              <w:t>June 2012</w:t>
            </w:r>
          </w:p>
        </w:tc>
        <w:tc>
          <w:tcPr>
            <w:tcW w:w="1440" w:type="dxa"/>
            <w:vAlign w:val="center"/>
          </w:tcPr>
          <w:p w:rsidR="0044674C" w:rsidRPr="00F04606" w:rsidRDefault="0044674C" w:rsidP="00793575">
            <w:pPr>
              <w:pStyle w:val="Default"/>
              <w:tabs>
                <w:tab w:val="left" w:pos="360"/>
              </w:tabs>
              <w:jc w:val="center"/>
            </w:pPr>
            <w:r>
              <w:t>100%</w:t>
            </w:r>
          </w:p>
        </w:tc>
      </w:tr>
      <w:tr w:rsidR="0044674C">
        <w:trPr>
          <w:trHeight w:val="504"/>
        </w:trPr>
        <w:tc>
          <w:tcPr>
            <w:tcW w:w="828" w:type="dxa"/>
            <w:vAlign w:val="center"/>
          </w:tcPr>
          <w:p w:rsidR="0044674C" w:rsidRPr="00F04606" w:rsidRDefault="0044674C" w:rsidP="003C5E5D">
            <w:pPr>
              <w:pStyle w:val="Default"/>
              <w:tabs>
                <w:tab w:val="left" w:pos="360"/>
              </w:tabs>
            </w:pPr>
            <w:r>
              <w:t>3.2.1</w:t>
            </w:r>
          </w:p>
        </w:tc>
        <w:tc>
          <w:tcPr>
            <w:tcW w:w="4140" w:type="dxa"/>
            <w:vAlign w:val="center"/>
          </w:tcPr>
          <w:p w:rsidR="0044674C" w:rsidRPr="00F04606" w:rsidRDefault="0044674C" w:rsidP="0007087A">
            <w:pPr>
              <w:pStyle w:val="Default"/>
              <w:tabs>
                <w:tab w:val="left" w:pos="360"/>
              </w:tabs>
            </w:pPr>
            <w:r>
              <w:t>Compile existing input data for numeric models</w:t>
            </w:r>
          </w:p>
        </w:tc>
        <w:tc>
          <w:tcPr>
            <w:tcW w:w="2250" w:type="dxa"/>
            <w:vAlign w:val="center"/>
          </w:tcPr>
          <w:p w:rsidR="0044674C" w:rsidRPr="00F04606" w:rsidRDefault="0044674C" w:rsidP="003C5E5D">
            <w:pPr>
              <w:pStyle w:val="Default"/>
              <w:tabs>
                <w:tab w:val="left" w:pos="360"/>
              </w:tabs>
            </w:pPr>
            <w:r>
              <w:t>November 2012</w:t>
            </w:r>
          </w:p>
        </w:tc>
        <w:tc>
          <w:tcPr>
            <w:tcW w:w="1440" w:type="dxa"/>
            <w:vAlign w:val="center"/>
          </w:tcPr>
          <w:p w:rsidR="0044674C" w:rsidRPr="00F04606" w:rsidRDefault="0044674C" w:rsidP="00793575">
            <w:pPr>
              <w:pStyle w:val="Default"/>
              <w:tabs>
                <w:tab w:val="left" w:pos="360"/>
              </w:tabs>
              <w:jc w:val="center"/>
            </w:pPr>
            <w:r>
              <w:t>100%</w:t>
            </w:r>
          </w:p>
        </w:tc>
      </w:tr>
      <w:tr w:rsidR="0044674C">
        <w:trPr>
          <w:trHeight w:val="504"/>
        </w:trPr>
        <w:tc>
          <w:tcPr>
            <w:tcW w:w="828" w:type="dxa"/>
            <w:vAlign w:val="center"/>
          </w:tcPr>
          <w:p w:rsidR="0044674C" w:rsidRDefault="0044674C" w:rsidP="003C5E5D">
            <w:pPr>
              <w:pStyle w:val="Default"/>
              <w:tabs>
                <w:tab w:val="left" w:pos="360"/>
              </w:tabs>
            </w:pPr>
            <w:r>
              <w:t>3.3.1</w:t>
            </w:r>
          </w:p>
        </w:tc>
        <w:tc>
          <w:tcPr>
            <w:tcW w:w="4140" w:type="dxa"/>
            <w:vAlign w:val="center"/>
          </w:tcPr>
          <w:p w:rsidR="0044674C" w:rsidRDefault="0044674C" w:rsidP="0007087A">
            <w:pPr>
              <w:pStyle w:val="Default"/>
              <w:tabs>
                <w:tab w:val="left" w:pos="360"/>
              </w:tabs>
            </w:pPr>
            <w:r>
              <w:t>Biannual progress updates on numeric model work</w:t>
            </w:r>
          </w:p>
        </w:tc>
        <w:tc>
          <w:tcPr>
            <w:tcW w:w="2250" w:type="dxa"/>
            <w:vAlign w:val="center"/>
          </w:tcPr>
          <w:p w:rsidR="0044674C" w:rsidRPr="00F04606" w:rsidRDefault="0044674C" w:rsidP="003C5E5D">
            <w:pPr>
              <w:pStyle w:val="Default"/>
              <w:tabs>
                <w:tab w:val="left" w:pos="360"/>
              </w:tabs>
            </w:pPr>
            <w:r>
              <w:t>Biannual beginning January 2013</w:t>
            </w:r>
          </w:p>
        </w:tc>
        <w:tc>
          <w:tcPr>
            <w:tcW w:w="1440" w:type="dxa"/>
            <w:vAlign w:val="center"/>
          </w:tcPr>
          <w:p w:rsidR="0044674C" w:rsidRDefault="0044674C" w:rsidP="00793575">
            <w:pPr>
              <w:pStyle w:val="Default"/>
              <w:tabs>
                <w:tab w:val="left" w:pos="360"/>
              </w:tabs>
              <w:jc w:val="center"/>
            </w:pPr>
            <w:r>
              <w:t>25%</w:t>
            </w:r>
          </w:p>
        </w:tc>
      </w:tr>
      <w:tr w:rsidR="0044674C">
        <w:trPr>
          <w:trHeight w:val="504"/>
        </w:trPr>
        <w:tc>
          <w:tcPr>
            <w:tcW w:w="828" w:type="dxa"/>
            <w:vAlign w:val="center"/>
          </w:tcPr>
          <w:p w:rsidR="0044674C" w:rsidRDefault="0044674C" w:rsidP="003C5E5D">
            <w:pPr>
              <w:pStyle w:val="Default"/>
              <w:tabs>
                <w:tab w:val="left" w:pos="360"/>
              </w:tabs>
            </w:pPr>
            <w:r>
              <w:t>3.3.2</w:t>
            </w:r>
          </w:p>
        </w:tc>
        <w:tc>
          <w:tcPr>
            <w:tcW w:w="4140" w:type="dxa"/>
            <w:vAlign w:val="center"/>
          </w:tcPr>
          <w:p w:rsidR="0044674C" w:rsidRDefault="00EC3E6D" w:rsidP="00EC3E6D">
            <w:pPr>
              <w:pStyle w:val="Default"/>
              <w:tabs>
                <w:tab w:val="left" w:pos="360"/>
              </w:tabs>
            </w:pPr>
            <w:r>
              <w:t>Model development and validation c</w:t>
            </w:r>
            <w:r w:rsidR="0044674C">
              <w:t>hapter in draft and final technical reports</w:t>
            </w:r>
          </w:p>
        </w:tc>
        <w:tc>
          <w:tcPr>
            <w:tcW w:w="2250" w:type="dxa"/>
            <w:vAlign w:val="center"/>
          </w:tcPr>
          <w:p w:rsidR="0044674C" w:rsidRPr="00F04606" w:rsidRDefault="00B71CEF" w:rsidP="003C5E5D">
            <w:pPr>
              <w:pStyle w:val="Default"/>
              <w:tabs>
                <w:tab w:val="left" w:pos="360"/>
              </w:tabs>
            </w:pPr>
            <w:r>
              <w:t>April</w:t>
            </w:r>
            <w:r w:rsidR="0044674C">
              <w:t xml:space="preserve"> 2014 and June 2014</w:t>
            </w:r>
          </w:p>
        </w:tc>
        <w:tc>
          <w:tcPr>
            <w:tcW w:w="1440" w:type="dxa"/>
            <w:vAlign w:val="center"/>
          </w:tcPr>
          <w:p w:rsidR="0044674C" w:rsidRDefault="0044674C" w:rsidP="00793575">
            <w:pPr>
              <w:pStyle w:val="Default"/>
              <w:tabs>
                <w:tab w:val="left" w:pos="360"/>
              </w:tabs>
              <w:jc w:val="center"/>
            </w:pPr>
            <w:r>
              <w:t>25%</w:t>
            </w:r>
          </w:p>
        </w:tc>
      </w:tr>
      <w:tr w:rsidR="0044674C">
        <w:trPr>
          <w:trHeight w:val="504"/>
        </w:trPr>
        <w:tc>
          <w:tcPr>
            <w:tcW w:w="828" w:type="dxa"/>
            <w:vAlign w:val="center"/>
          </w:tcPr>
          <w:p w:rsidR="0044674C" w:rsidRDefault="0044674C" w:rsidP="003C5E5D">
            <w:pPr>
              <w:pStyle w:val="Default"/>
              <w:tabs>
                <w:tab w:val="left" w:pos="360"/>
              </w:tabs>
            </w:pPr>
            <w:r>
              <w:t>3.4.1</w:t>
            </w:r>
          </w:p>
        </w:tc>
        <w:tc>
          <w:tcPr>
            <w:tcW w:w="4140" w:type="dxa"/>
            <w:vAlign w:val="center"/>
          </w:tcPr>
          <w:p w:rsidR="0044674C" w:rsidRDefault="0044674C" w:rsidP="003C5E5D">
            <w:pPr>
              <w:pStyle w:val="Default"/>
              <w:tabs>
                <w:tab w:val="left" w:pos="360"/>
              </w:tabs>
            </w:pPr>
            <w:r>
              <w:t>Draft list of scenarios to be evaluated</w:t>
            </w:r>
          </w:p>
        </w:tc>
        <w:tc>
          <w:tcPr>
            <w:tcW w:w="2250" w:type="dxa"/>
            <w:vAlign w:val="center"/>
          </w:tcPr>
          <w:p w:rsidR="0044674C" w:rsidRPr="00F04606" w:rsidRDefault="0044674C" w:rsidP="003C5E5D">
            <w:pPr>
              <w:pStyle w:val="Default"/>
              <w:tabs>
                <w:tab w:val="left" w:pos="360"/>
              </w:tabs>
            </w:pPr>
            <w:r>
              <w:t>March 2013</w:t>
            </w:r>
          </w:p>
        </w:tc>
        <w:tc>
          <w:tcPr>
            <w:tcW w:w="1440" w:type="dxa"/>
            <w:vAlign w:val="center"/>
          </w:tcPr>
          <w:p w:rsidR="0044674C" w:rsidRDefault="0044674C" w:rsidP="00793575">
            <w:pPr>
              <w:pStyle w:val="Default"/>
              <w:tabs>
                <w:tab w:val="left" w:pos="360"/>
              </w:tabs>
              <w:jc w:val="center"/>
            </w:pPr>
            <w:r>
              <w:t>0%</w:t>
            </w:r>
          </w:p>
        </w:tc>
      </w:tr>
      <w:tr w:rsidR="0044674C">
        <w:trPr>
          <w:trHeight w:val="504"/>
        </w:trPr>
        <w:tc>
          <w:tcPr>
            <w:tcW w:w="828" w:type="dxa"/>
            <w:vAlign w:val="center"/>
          </w:tcPr>
          <w:p w:rsidR="0044674C" w:rsidRDefault="0044674C" w:rsidP="003C5E5D">
            <w:pPr>
              <w:pStyle w:val="Default"/>
              <w:tabs>
                <w:tab w:val="left" w:pos="360"/>
              </w:tabs>
            </w:pPr>
            <w:r>
              <w:t>3.4.2</w:t>
            </w:r>
          </w:p>
        </w:tc>
        <w:tc>
          <w:tcPr>
            <w:tcW w:w="4140" w:type="dxa"/>
            <w:vAlign w:val="center"/>
          </w:tcPr>
          <w:p w:rsidR="0044674C" w:rsidRDefault="00EC3E6D" w:rsidP="00EC3E6D">
            <w:pPr>
              <w:pStyle w:val="Default"/>
              <w:tabs>
                <w:tab w:val="left" w:pos="360"/>
              </w:tabs>
            </w:pPr>
            <w:r>
              <w:t>Scenario testing c</w:t>
            </w:r>
            <w:r w:rsidR="0044674C">
              <w:t>hapter in draft and final modeling technical reports</w:t>
            </w:r>
          </w:p>
        </w:tc>
        <w:tc>
          <w:tcPr>
            <w:tcW w:w="2250" w:type="dxa"/>
            <w:vAlign w:val="center"/>
          </w:tcPr>
          <w:p w:rsidR="0044674C" w:rsidRPr="00F04606" w:rsidRDefault="00B71CEF" w:rsidP="003C5E5D">
            <w:pPr>
              <w:pStyle w:val="Default"/>
              <w:tabs>
                <w:tab w:val="left" w:pos="360"/>
              </w:tabs>
            </w:pPr>
            <w:r>
              <w:t>April</w:t>
            </w:r>
            <w:r w:rsidR="0044674C">
              <w:t xml:space="preserve"> 2014 and June 2014</w:t>
            </w:r>
          </w:p>
        </w:tc>
        <w:tc>
          <w:tcPr>
            <w:tcW w:w="1440" w:type="dxa"/>
            <w:vAlign w:val="center"/>
          </w:tcPr>
          <w:p w:rsidR="0044674C" w:rsidRDefault="0044674C" w:rsidP="00793575">
            <w:pPr>
              <w:pStyle w:val="Default"/>
              <w:tabs>
                <w:tab w:val="left" w:pos="360"/>
              </w:tabs>
              <w:jc w:val="center"/>
            </w:pPr>
            <w:r>
              <w:t>0%</w:t>
            </w:r>
          </w:p>
        </w:tc>
      </w:tr>
      <w:tr w:rsidR="0044674C">
        <w:trPr>
          <w:trHeight w:val="504"/>
        </w:trPr>
        <w:tc>
          <w:tcPr>
            <w:tcW w:w="828" w:type="dxa"/>
            <w:vAlign w:val="center"/>
          </w:tcPr>
          <w:p w:rsidR="0044674C" w:rsidRDefault="0044674C" w:rsidP="003C5E5D">
            <w:pPr>
              <w:pStyle w:val="Default"/>
              <w:tabs>
                <w:tab w:val="left" w:pos="360"/>
              </w:tabs>
            </w:pPr>
            <w:r>
              <w:t>3.5.1</w:t>
            </w:r>
          </w:p>
        </w:tc>
        <w:tc>
          <w:tcPr>
            <w:tcW w:w="4140" w:type="dxa"/>
            <w:vAlign w:val="center"/>
          </w:tcPr>
          <w:p w:rsidR="0044674C" w:rsidRDefault="0044674C" w:rsidP="003C5E5D">
            <w:pPr>
              <w:pStyle w:val="Default"/>
              <w:tabs>
                <w:tab w:val="left" w:pos="360"/>
              </w:tabs>
            </w:pPr>
            <w:r>
              <w:t>Draft modeling technical report</w:t>
            </w:r>
          </w:p>
        </w:tc>
        <w:tc>
          <w:tcPr>
            <w:tcW w:w="2250" w:type="dxa"/>
            <w:vAlign w:val="center"/>
          </w:tcPr>
          <w:p w:rsidR="0044674C" w:rsidRPr="00F04606" w:rsidRDefault="0044674C" w:rsidP="003C5E5D">
            <w:pPr>
              <w:pStyle w:val="Default"/>
              <w:tabs>
                <w:tab w:val="left" w:pos="360"/>
              </w:tabs>
            </w:pPr>
            <w:r>
              <w:t>April 2014</w:t>
            </w:r>
          </w:p>
        </w:tc>
        <w:tc>
          <w:tcPr>
            <w:tcW w:w="1440" w:type="dxa"/>
            <w:vAlign w:val="center"/>
          </w:tcPr>
          <w:p w:rsidR="0044674C" w:rsidRDefault="0044674C" w:rsidP="00793575">
            <w:pPr>
              <w:pStyle w:val="Default"/>
              <w:tabs>
                <w:tab w:val="left" w:pos="360"/>
              </w:tabs>
              <w:jc w:val="center"/>
            </w:pPr>
            <w:r>
              <w:t>0%</w:t>
            </w:r>
          </w:p>
        </w:tc>
      </w:tr>
      <w:tr w:rsidR="0044674C">
        <w:trPr>
          <w:trHeight w:val="504"/>
        </w:trPr>
        <w:tc>
          <w:tcPr>
            <w:tcW w:w="828" w:type="dxa"/>
            <w:vAlign w:val="center"/>
          </w:tcPr>
          <w:p w:rsidR="0044674C" w:rsidRDefault="0044674C" w:rsidP="003C5E5D">
            <w:pPr>
              <w:pStyle w:val="Default"/>
              <w:tabs>
                <w:tab w:val="left" w:pos="360"/>
              </w:tabs>
            </w:pPr>
            <w:r>
              <w:t>3.5.2</w:t>
            </w:r>
          </w:p>
        </w:tc>
        <w:tc>
          <w:tcPr>
            <w:tcW w:w="4140" w:type="dxa"/>
            <w:vAlign w:val="center"/>
          </w:tcPr>
          <w:p w:rsidR="0044674C" w:rsidRDefault="0044674C" w:rsidP="003C5E5D">
            <w:pPr>
              <w:pStyle w:val="Default"/>
              <w:tabs>
                <w:tab w:val="left" w:pos="360"/>
              </w:tabs>
            </w:pPr>
            <w:r>
              <w:t>Final modeling technical report</w:t>
            </w:r>
          </w:p>
        </w:tc>
        <w:tc>
          <w:tcPr>
            <w:tcW w:w="2250" w:type="dxa"/>
            <w:vAlign w:val="center"/>
          </w:tcPr>
          <w:p w:rsidR="0044674C" w:rsidRPr="00F04606" w:rsidRDefault="00A319FD" w:rsidP="003C5E5D">
            <w:pPr>
              <w:pStyle w:val="Default"/>
              <w:tabs>
                <w:tab w:val="left" w:pos="360"/>
              </w:tabs>
            </w:pPr>
            <w:r>
              <w:t>June</w:t>
            </w:r>
            <w:r w:rsidR="0044674C">
              <w:t xml:space="preserve"> 2014</w:t>
            </w:r>
          </w:p>
        </w:tc>
        <w:tc>
          <w:tcPr>
            <w:tcW w:w="1440" w:type="dxa"/>
            <w:vAlign w:val="center"/>
          </w:tcPr>
          <w:p w:rsidR="0044674C" w:rsidRDefault="0044674C" w:rsidP="00793575">
            <w:pPr>
              <w:pStyle w:val="Default"/>
              <w:tabs>
                <w:tab w:val="left" w:pos="360"/>
              </w:tabs>
              <w:jc w:val="center"/>
            </w:pPr>
            <w:r>
              <w:t>0%</w:t>
            </w:r>
          </w:p>
        </w:tc>
      </w:tr>
      <w:tr w:rsidR="0044674C">
        <w:trPr>
          <w:trHeight w:val="504"/>
        </w:trPr>
        <w:tc>
          <w:tcPr>
            <w:tcW w:w="828" w:type="dxa"/>
            <w:vAlign w:val="center"/>
          </w:tcPr>
          <w:p w:rsidR="0044674C" w:rsidRDefault="0044674C" w:rsidP="003C5E5D">
            <w:pPr>
              <w:pStyle w:val="Default"/>
              <w:tabs>
                <w:tab w:val="left" w:pos="360"/>
              </w:tabs>
            </w:pPr>
            <w:r>
              <w:t>4.1.1</w:t>
            </w:r>
          </w:p>
        </w:tc>
        <w:tc>
          <w:tcPr>
            <w:tcW w:w="4140" w:type="dxa"/>
            <w:vAlign w:val="center"/>
          </w:tcPr>
          <w:p w:rsidR="0044674C" w:rsidRDefault="0044674C" w:rsidP="00797C58">
            <w:pPr>
              <w:pStyle w:val="Default"/>
              <w:tabs>
                <w:tab w:val="left" w:pos="360"/>
              </w:tabs>
            </w:pPr>
            <w:r>
              <w:t>Draft Suisun study plan and synthesis report</w:t>
            </w:r>
          </w:p>
        </w:tc>
        <w:tc>
          <w:tcPr>
            <w:tcW w:w="2250" w:type="dxa"/>
            <w:vAlign w:val="center"/>
          </w:tcPr>
          <w:p w:rsidR="0044674C" w:rsidRPr="00F04606" w:rsidRDefault="0044674C" w:rsidP="003C5E5D">
            <w:pPr>
              <w:pStyle w:val="Default"/>
              <w:tabs>
                <w:tab w:val="left" w:pos="360"/>
              </w:tabs>
            </w:pPr>
            <w:r>
              <w:t>September 2012</w:t>
            </w:r>
          </w:p>
        </w:tc>
        <w:tc>
          <w:tcPr>
            <w:tcW w:w="1440" w:type="dxa"/>
            <w:vAlign w:val="center"/>
          </w:tcPr>
          <w:p w:rsidR="0044674C" w:rsidRDefault="0044674C" w:rsidP="00793575">
            <w:pPr>
              <w:pStyle w:val="Default"/>
              <w:tabs>
                <w:tab w:val="left" w:pos="360"/>
              </w:tabs>
              <w:jc w:val="center"/>
            </w:pPr>
            <w:r>
              <w:t>100%</w:t>
            </w:r>
          </w:p>
        </w:tc>
      </w:tr>
      <w:tr w:rsidR="0044674C">
        <w:trPr>
          <w:trHeight w:val="504"/>
        </w:trPr>
        <w:tc>
          <w:tcPr>
            <w:tcW w:w="828" w:type="dxa"/>
            <w:vAlign w:val="center"/>
          </w:tcPr>
          <w:p w:rsidR="0044674C" w:rsidRDefault="0044674C" w:rsidP="003C5E5D">
            <w:pPr>
              <w:pStyle w:val="Default"/>
              <w:tabs>
                <w:tab w:val="left" w:pos="360"/>
              </w:tabs>
            </w:pPr>
            <w:r>
              <w:t>4.1.2</w:t>
            </w:r>
          </w:p>
        </w:tc>
        <w:tc>
          <w:tcPr>
            <w:tcW w:w="4140" w:type="dxa"/>
            <w:vAlign w:val="center"/>
          </w:tcPr>
          <w:p w:rsidR="0044674C" w:rsidRDefault="0044674C" w:rsidP="003C5E5D">
            <w:pPr>
              <w:pStyle w:val="Default"/>
              <w:tabs>
                <w:tab w:val="left" w:pos="360"/>
              </w:tabs>
            </w:pPr>
            <w:r>
              <w:t>Final Suisun study plan and synthesis report</w:t>
            </w:r>
          </w:p>
        </w:tc>
        <w:tc>
          <w:tcPr>
            <w:tcW w:w="2250" w:type="dxa"/>
            <w:vAlign w:val="center"/>
          </w:tcPr>
          <w:p w:rsidR="0044674C" w:rsidRPr="00F04606" w:rsidRDefault="0044674C" w:rsidP="003C5E5D">
            <w:pPr>
              <w:pStyle w:val="Default"/>
              <w:tabs>
                <w:tab w:val="left" w:pos="360"/>
              </w:tabs>
            </w:pPr>
            <w:r>
              <w:t>December 2012</w:t>
            </w:r>
          </w:p>
        </w:tc>
        <w:tc>
          <w:tcPr>
            <w:tcW w:w="1440" w:type="dxa"/>
            <w:vAlign w:val="center"/>
          </w:tcPr>
          <w:p w:rsidR="0044674C" w:rsidRDefault="0044674C" w:rsidP="00793575">
            <w:pPr>
              <w:pStyle w:val="Default"/>
              <w:tabs>
                <w:tab w:val="left" w:pos="360"/>
              </w:tabs>
              <w:jc w:val="center"/>
            </w:pPr>
            <w:r>
              <w:t>100%</w:t>
            </w:r>
          </w:p>
        </w:tc>
      </w:tr>
      <w:tr w:rsidR="0044674C">
        <w:trPr>
          <w:trHeight w:val="504"/>
        </w:trPr>
        <w:tc>
          <w:tcPr>
            <w:tcW w:w="828" w:type="dxa"/>
            <w:vAlign w:val="center"/>
          </w:tcPr>
          <w:p w:rsidR="0044674C" w:rsidRDefault="0044674C" w:rsidP="003C5E5D">
            <w:pPr>
              <w:pStyle w:val="Default"/>
              <w:tabs>
                <w:tab w:val="left" w:pos="360"/>
              </w:tabs>
            </w:pPr>
            <w:r>
              <w:t>4.2.1</w:t>
            </w:r>
          </w:p>
        </w:tc>
        <w:tc>
          <w:tcPr>
            <w:tcW w:w="4140" w:type="dxa"/>
            <w:vAlign w:val="center"/>
          </w:tcPr>
          <w:p w:rsidR="0044674C" w:rsidRDefault="0044674C" w:rsidP="003C5E5D">
            <w:pPr>
              <w:pStyle w:val="Default"/>
              <w:tabs>
                <w:tab w:val="left" w:pos="360"/>
              </w:tabs>
            </w:pPr>
            <w:r>
              <w:t>Draft ammonium impacts technical report</w:t>
            </w:r>
          </w:p>
        </w:tc>
        <w:tc>
          <w:tcPr>
            <w:tcW w:w="2250" w:type="dxa"/>
            <w:vAlign w:val="center"/>
          </w:tcPr>
          <w:p w:rsidR="0044674C" w:rsidRPr="00F04606" w:rsidRDefault="0044674C" w:rsidP="003C5E5D">
            <w:pPr>
              <w:pStyle w:val="Default"/>
              <w:tabs>
                <w:tab w:val="left" w:pos="360"/>
              </w:tabs>
            </w:pPr>
            <w:r>
              <w:t>April 2013</w:t>
            </w:r>
          </w:p>
        </w:tc>
        <w:tc>
          <w:tcPr>
            <w:tcW w:w="1440" w:type="dxa"/>
            <w:vAlign w:val="center"/>
          </w:tcPr>
          <w:p w:rsidR="0044674C" w:rsidRDefault="0044674C" w:rsidP="00793575">
            <w:pPr>
              <w:pStyle w:val="Default"/>
              <w:tabs>
                <w:tab w:val="left" w:pos="360"/>
              </w:tabs>
              <w:jc w:val="center"/>
            </w:pPr>
            <w:r>
              <w:t>40%</w:t>
            </w:r>
          </w:p>
        </w:tc>
      </w:tr>
      <w:tr w:rsidR="0044674C">
        <w:trPr>
          <w:trHeight w:val="504"/>
        </w:trPr>
        <w:tc>
          <w:tcPr>
            <w:tcW w:w="828" w:type="dxa"/>
            <w:vAlign w:val="center"/>
          </w:tcPr>
          <w:p w:rsidR="0044674C" w:rsidRDefault="0044674C" w:rsidP="003C5E5D">
            <w:pPr>
              <w:pStyle w:val="Default"/>
              <w:tabs>
                <w:tab w:val="left" w:pos="360"/>
              </w:tabs>
            </w:pPr>
            <w:r>
              <w:t>4.2.2</w:t>
            </w:r>
          </w:p>
        </w:tc>
        <w:tc>
          <w:tcPr>
            <w:tcW w:w="4140" w:type="dxa"/>
            <w:vAlign w:val="center"/>
          </w:tcPr>
          <w:p w:rsidR="0044674C" w:rsidRDefault="0044674C" w:rsidP="003C5E5D">
            <w:pPr>
              <w:pStyle w:val="Default"/>
              <w:tabs>
                <w:tab w:val="left" w:pos="360"/>
              </w:tabs>
            </w:pPr>
            <w:r>
              <w:t>Final ammonium impacts technical report</w:t>
            </w:r>
          </w:p>
        </w:tc>
        <w:tc>
          <w:tcPr>
            <w:tcW w:w="2250" w:type="dxa"/>
            <w:vAlign w:val="center"/>
          </w:tcPr>
          <w:p w:rsidR="0044674C" w:rsidRPr="00F04606" w:rsidRDefault="0044674C" w:rsidP="003C5E5D">
            <w:pPr>
              <w:pStyle w:val="Default"/>
              <w:tabs>
                <w:tab w:val="left" w:pos="360"/>
              </w:tabs>
            </w:pPr>
            <w:r>
              <w:t>June 2013</w:t>
            </w:r>
          </w:p>
        </w:tc>
        <w:tc>
          <w:tcPr>
            <w:tcW w:w="1440" w:type="dxa"/>
            <w:vAlign w:val="center"/>
          </w:tcPr>
          <w:p w:rsidR="0044674C" w:rsidRDefault="0044674C" w:rsidP="00793575">
            <w:pPr>
              <w:pStyle w:val="Default"/>
              <w:tabs>
                <w:tab w:val="left" w:pos="360"/>
              </w:tabs>
              <w:jc w:val="center"/>
            </w:pPr>
            <w:r>
              <w:t>40%</w:t>
            </w:r>
          </w:p>
        </w:tc>
      </w:tr>
      <w:tr w:rsidR="0044674C">
        <w:trPr>
          <w:trHeight w:val="504"/>
        </w:trPr>
        <w:tc>
          <w:tcPr>
            <w:tcW w:w="828" w:type="dxa"/>
            <w:vAlign w:val="center"/>
          </w:tcPr>
          <w:p w:rsidR="0044674C" w:rsidRDefault="001C103E" w:rsidP="003C5E5D">
            <w:pPr>
              <w:pStyle w:val="Default"/>
              <w:tabs>
                <w:tab w:val="left" w:pos="360"/>
              </w:tabs>
            </w:pPr>
            <w:r>
              <w:t>4.3.1</w:t>
            </w:r>
          </w:p>
        </w:tc>
        <w:tc>
          <w:tcPr>
            <w:tcW w:w="4140" w:type="dxa"/>
            <w:vAlign w:val="center"/>
          </w:tcPr>
          <w:p w:rsidR="0044674C" w:rsidRDefault="0044674C" w:rsidP="00121DDC">
            <w:pPr>
              <w:pStyle w:val="Default"/>
              <w:tabs>
                <w:tab w:val="left" w:pos="360"/>
              </w:tabs>
            </w:pPr>
            <w:r>
              <w:t xml:space="preserve">Final Suisun Bay model </w:t>
            </w:r>
          </w:p>
        </w:tc>
        <w:tc>
          <w:tcPr>
            <w:tcW w:w="2250" w:type="dxa"/>
            <w:vAlign w:val="center"/>
          </w:tcPr>
          <w:p w:rsidR="0044674C" w:rsidRDefault="0044674C" w:rsidP="00F56AED">
            <w:pPr>
              <w:pStyle w:val="Default"/>
              <w:tabs>
                <w:tab w:val="left" w:pos="360"/>
              </w:tabs>
            </w:pPr>
            <w:r>
              <w:t>February 2014</w:t>
            </w:r>
          </w:p>
        </w:tc>
        <w:tc>
          <w:tcPr>
            <w:tcW w:w="1440" w:type="dxa"/>
            <w:vAlign w:val="center"/>
          </w:tcPr>
          <w:p w:rsidR="0044674C" w:rsidRDefault="0044674C" w:rsidP="00793575">
            <w:pPr>
              <w:pStyle w:val="Default"/>
              <w:tabs>
                <w:tab w:val="left" w:pos="360"/>
              </w:tabs>
              <w:jc w:val="center"/>
            </w:pPr>
            <w:r>
              <w:t>0%</w:t>
            </w:r>
          </w:p>
        </w:tc>
      </w:tr>
      <w:tr w:rsidR="0044674C">
        <w:trPr>
          <w:trHeight w:val="504"/>
        </w:trPr>
        <w:tc>
          <w:tcPr>
            <w:tcW w:w="828" w:type="dxa"/>
            <w:vAlign w:val="center"/>
          </w:tcPr>
          <w:p w:rsidR="0044674C" w:rsidRDefault="001C103E" w:rsidP="003C5E5D">
            <w:pPr>
              <w:pStyle w:val="Default"/>
              <w:tabs>
                <w:tab w:val="left" w:pos="360"/>
              </w:tabs>
            </w:pPr>
            <w:r>
              <w:lastRenderedPageBreak/>
              <w:t>4.3.2</w:t>
            </w:r>
          </w:p>
        </w:tc>
        <w:tc>
          <w:tcPr>
            <w:tcW w:w="4140" w:type="dxa"/>
            <w:vAlign w:val="center"/>
          </w:tcPr>
          <w:p w:rsidR="0044674C" w:rsidRDefault="0044674C" w:rsidP="00121DDC">
            <w:pPr>
              <w:pStyle w:val="Default"/>
              <w:tabs>
                <w:tab w:val="left" w:pos="360"/>
              </w:tabs>
            </w:pPr>
            <w:r>
              <w:t>Final Suisun Bay synthesis report</w:t>
            </w:r>
          </w:p>
        </w:tc>
        <w:tc>
          <w:tcPr>
            <w:tcW w:w="2250" w:type="dxa"/>
            <w:vAlign w:val="center"/>
          </w:tcPr>
          <w:p w:rsidR="0044674C" w:rsidRDefault="00B74586" w:rsidP="00B74586">
            <w:pPr>
              <w:pStyle w:val="Default"/>
              <w:tabs>
                <w:tab w:val="left" w:pos="360"/>
              </w:tabs>
            </w:pPr>
            <w:r>
              <w:t>February 2016</w:t>
            </w:r>
          </w:p>
        </w:tc>
        <w:tc>
          <w:tcPr>
            <w:tcW w:w="1440" w:type="dxa"/>
            <w:vAlign w:val="center"/>
          </w:tcPr>
          <w:p w:rsidR="0044674C" w:rsidRDefault="0044674C" w:rsidP="00793575">
            <w:pPr>
              <w:pStyle w:val="Default"/>
              <w:tabs>
                <w:tab w:val="left" w:pos="360"/>
              </w:tabs>
              <w:jc w:val="center"/>
            </w:pPr>
            <w:r>
              <w:t>0%</w:t>
            </w:r>
          </w:p>
        </w:tc>
      </w:tr>
    </w:tbl>
    <w:p w:rsidR="00CB1705" w:rsidRDefault="00CB1705" w:rsidP="00950F58">
      <w:pPr>
        <w:pStyle w:val="Default"/>
        <w:tabs>
          <w:tab w:val="left" w:pos="360"/>
        </w:tabs>
        <w:rPr>
          <w:b/>
        </w:rPr>
      </w:pPr>
    </w:p>
    <w:p w:rsidR="00642321" w:rsidRPr="00CF6D14" w:rsidRDefault="005A7CCB" w:rsidP="00642321">
      <w:pPr>
        <w:spacing w:after="120"/>
        <w:rPr>
          <w:b/>
        </w:rPr>
      </w:pPr>
      <w:r>
        <w:rPr>
          <w:b/>
        </w:rPr>
        <w:t>3</w:t>
      </w:r>
      <w:r w:rsidR="00642321" w:rsidRPr="00CF6D14">
        <w:rPr>
          <w:b/>
        </w:rPr>
        <w:t xml:space="preserve">. Budget </w:t>
      </w:r>
    </w:p>
    <w:p w:rsidR="00642321" w:rsidRPr="00CF6D14" w:rsidRDefault="00642321" w:rsidP="00642321">
      <w:r w:rsidRPr="00CF6D14">
        <w:t xml:space="preserve">The budget and schedule below are estimates and will be refined as needed.  This funding is anticipated to be sufficient for </w:t>
      </w:r>
      <w:r w:rsidR="008E123E">
        <w:t>the</w:t>
      </w:r>
      <w:r w:rsidRPr="00CF6D14">
        <w:t xml:space="preserve"> </w:t>
      </w:r>
      <w:r w:rsidR="008E123E">
        <w:t>basic work effort associated with the 2012 deliverables. However it is e</w:t>
      </w:r>
      <w:r w:rsidRPr="00CF6D14">
        <w:t>xpected that additional costs will arise in 2012 associated with the basic logistics of coordinating the strategy development and implementation. These include convening technical teams</w:t>
      </w:r>
      <w:r w:rsidR="00775FDA">
        <w:t xml:space="preserve"> or technical experts </w:t>
      </w:r>
      <w:r w:rsidR="008E123E">
        <w:t xml:space="preserve">to </w:t>
      </w:r>
      <w:r w:rsidR="00775FDA">
        <w:t xml:space="preserve">act either </w:t>
      </w:r>
      <w:r w:rsidR="008E123E">
        <w:t xml:space="preserve">as </w:t>
      </w:r>
      <w:r w:rsidR="00775FDA">
        <w:t>advisors or</w:t>
      </w:r>
      <w:r w:rsidR="00A57C1E">
        <w:t xml:space="preserve"> </w:t>
      </w:r>
      <w:r w:rsidR="008E123E">
        <w:t xml:space="preserve">as actual </w:t>
      </w:r>
      <w:r w:rsidR="00775FDA">
        <w:t>contribut</w:t>
      </w:r>
      <w:r w:rsidR="008E123E">
        <w:t>ors to</w:t>
      </w:r>
      <w:r w:rsidR="00775FDA">
        <w:t xml:space="preserve"> </w:t>
      </w:r>
      <w:r w:rsidR="00A57C1E">
        <w:t>report preparation</w:t>
      </w:r>
      <w:r w:rsidRPr="00CF6D14">
        <w:t xml:space="preserve"> (travel, honarium or per diem),</w:t>
      </w:r>
      <w:r w:rsidR="00A57C1E">
        <w:t xml:space="preserve"> facilitation, and holding stakeholder meetings</w:t>
      </w:r>
      <w:r w:rsidR="00E044D2">
        <w:t xml:space="preserve"> (lunches, refreshments</w:t>
      </w:r>
      <w:r w:rsidR="00775FDA">
        <w:t>)</w:t>
      </w:r>
      <w:r w:rsidRPr="00CF6D14">
        <w:t xml:space="preserve">. </w:t>
      </w:r>
    </w:p>
    <w:p w:rsidR="00642321" w:rsidRPr="00CF6D14" w:rsidRDefault="00642321" w:rsidP="00642321"/>
    <w:p w:rsidR="00642321" w:rsidRPr="00CF6D14" w:rsidRDefault="00642321" w:rsidP="00642321">
      <w:r w:rsidRPr="00CF6D14">
        <w:t xml:space="preserve">Funding and schedules for work completed beyond 2012 will be agreed upon by the Regional Water Board, BACWA and other stakeholders.  </w:t>
      </w:r>
    </w:p>
    <w:p w:rsidR="00642321" w:rsidRPr="00CF6D14" w:rsidRDefault="00642321" w:rsidP="006423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18"/>
        <w:gridCol w:w="1800"/>
      </w:tblGrid>
      <w:tr w:rsidR="00875733" w:rsidRPr="0032695A">
        <w:tc>
          <w:tcPr>
            <w:tcW w:w="5418" w:type="dxa"/>
            <w:vAlign w:val="bottom"/>
          </w:tcPr>
          <w:p w:rsidR="00875733" w:rsidRPr="0032695A" w:rsidRDefault="00875733" w:rsidP="00BD23D1">
            <w:pPr>
              <w:pStyle w:val="Default"/>
              <w:tabs>
                <w:tab w:val="left" w:pos="360"/>
              </w:tabs>
              <w:rPr>
                <w:b/>
                <w:sz w:val="22"/>
                <w:szCs w:val="22"/>
              </w:rPr>
            </w:pPr>
          </w:p>
        </w:tc>
        <w:tc>
          <w:tcPr>
            <w:tcW w:w="1800" w:type="dxa"/>
            <w:vAlign w:val="bottom"/>
          </w:tcPr>
          <w:p w:rsidR="00875733" w:rsidRPr="0032695A" w:rsidRDefault="00875733" w:rsidP="00BD23D1">
            <w:pPr>
              <w:pStyle w:val="Default"/>
              <w:tabs>
                <w:tab w:val="left" w:pos="360"/>
              </w:tabs>
              <w:rPr>
                <w:b/>
                <w:sz w:val="22"/>
                <w:szCs w:val="22"/>
              </w:rPr>
            </w:pPr>
            <w:r w:rsidRPr="0032695A">
              <w:rPr>
                <w:b/>
                <w:sz w:val="22"/>
                <w:szCs w:val="22"/>
              </w:rPr>
              <w:t>2012 Funding</w:t>
            </w:r>
          </w:p>
        </w:tc>
      </w:tr>
      <w:tr w:rsidR="00F55FC0" w:rsidRPr="0032695A">
        <w:trPr>
          <w:trHeight w:val="378"/>
        </w:trPr>
        <w:tc>
          <w:tcPr>
            <w:tcW w:w="5418" w:type="dxa"/>
            <w:vAlign w:val="bottom"/>
          </w:tcPr>
          <w:p w:rsidR="00F55FC0" w:rsidRDefault="00F55FC0" w:rsidP="00121DDC">
            <w:pPr>
              <w:pStyle w:val="Default"/>
              <w:tabs>
                <w:tab w:val="left" w:pos="360"/>
              </w:tabs>
              <w:rPr>
                <w:sz w:val="22"/>
                <w:szCs w:val="22"/>
                <w:u w:val="single"/>
              </w:rPr>
            </w:pPr>
            <w:r>
              <w:rPr>
                <w:sz w:val="22"/>
                <w:szCs w:val="22"/>
                <w:u w:val="single"/>
              </w:rPr>
              <w:t xml:space="preserve">Task #1 Project </w:t>
            </w:r>
            <w:r w:rsidR="00121DDC">
              <w:rPr>
                <w:sz w:val="22"/>
                <w:szCs w:val="22"/>
                <w:u w:val="single"/>
              </w:rPr>
              <w:t>Administration</w:t>
            </w:r>
          </w:p>
        </w:tc>
        <w:tc>
          <w:tcPr>
            <w:tcW w:w="1800" w:type="dxa"/>
            <w:vAlign w:val="bottom"/>
          </w:tcPr>
          <w:p w:rsidR="00F55FC0" w:rsidRPr="0032695A" w:rsidRDefault="003B63F7" w:rsidP="00BD23D1">
            <w:pPr>
              <w:pStyle w:val="Default"/>
              <w:tabs>
                <w:tab w:val="left" w:pos="360"/>
              </w:tabs>
              <w:rPr>
                <w:sz w:val="22"/>
                <w:szCs w:val="22"/>
                <w:u w:val="single"/>
              </w:rPr>
            </w:pPr>
            <w:r>
              <w:rPr>
                <w:sz w:val="22"/>
                <w:szCs w:val="22"/>
                <w:u w:val="single"/>
              </w:rPr>
              <w:t>$3</w:t>
            </w:r>
            <w:r w:rsidR="00D765B5">
              <w:rPr>
                <w:sz w:val="22"/>
                <w:szCs w:val="22"/>
                <w:u w:val="single"/>
              </w:rPr>
              <w:t>0</w:t>
            </w:r>
            <w:r w:rsidR="00661909">
              <w:rPr>
                <w:sz w:val="22"/>
                <w:szCs w:val="22"/>
                <w:u w:val="single"/>
              </w:rPr>
              <w:t>,000</w:t>
            </w:r>
          </w:p>
        </w:tc>
      </w:tr>
      <w:tr w:rsidR="00F55FC0" w:rsidRPr="0032695A">
        <w:trPr>
          <w:trHeight w:val="378"/>
        </w:trPr>
        <w:tc>
          <w:tcPr>
            <w:tcW w:w="5418" w:type="dxa"/>
            <w:vAlign w:val="bottom"/>
          </w:tcPr>
          <w:p w:rsidR="00F55FC0" w:rsidRDefault="00F55FC0" w:rsidP="00BD23D1">
            <w:pPr>
              <w:pStyle w:val="Default"/>
              <w:tabs>
                <w:tab w:val="left" w:pos="360"/>
              </w:tabs>
              <w:rPr>
                <w:sz w:val="22"/>
                <w:szCs w:val="22"/>
                <w:u w:val="single"/>
              </w:rPr>
            </w:pPr>
          </w:p>
        </w:tc>
        <w:tc>
          <w:tcPr>
            <w:tcW w:w="1800" w:type="dxa"/>
            <w:vAlign w:val="bottom"/>
          </w:tcPr>
          <w:p w:rsidR="00F55FC0" w:rsidRPr="0032695A" w:rsidRDefault="00F55FC0" w:rsidP="00BD23D1">
            <w:pPr>
              <w:pStyle w:val="Default"/>
              <w:tabs>
                <w:tab w:val="left" w:pos="360"/>
              </w:tabs>
              <w:rPr>
                <w:sz w:val="22"/>
                <w:szCs w:val="22"/>
                <w:u w:val="single"/>
              </w:rPr>
            </w:pPr>
          </w:p>
        </w:tc>
      </w:tr>
      <w:tr w:rsidR="00875733" w:rsidRPr="0032695A">
        <w:trPr>
          <w:trHeight w:val="378"/>
        </w:trPr>
        <w:tc>
          <w:tcPr>
            <w:tcW w:w="5418" w:type="dxa"/>
            <w:vAlign w:val="bottom"/>
          </w:tcPr>
          <w:p w:rsidR="00875733" w:rsidRPr="0032695A" w:rsidRDefault="00C03FC4" w:rsidP="00BD23D1">
            <w:pPr>
              <w:pStyle w:val="Default"/>
              <w:tabs>
                <w:tab w:val="left" w:pos="360"/>
              </w:tabs>
              <w:rPr>
                <w:sz w:val="22"/>
                <w:szCs w:val="22"/>
                <w:u w:val="single"/>
              </w:rPr>
            </w:pPr>
            <w:r>
              <w:rPr>
                <w:sz w:val="22"/>
                <w:szCs w:val="22"/>
                <w:u w:val="single"/>
              </w:rPr>
              <w:t>Task #2</w:t>
            </w:r>
            <w:r w:rsidR="00875733" w:rsidRPr="0032695A">
              <w:rPr>
                <w:sz w:val="22"/>
                <w:szCs w:val="22"/>
                <w:u w:val="single"/>
              </w:rPr>
              <w:t>: Nutrient Strategy</w:t>
            </w:r>
          </w:p>
        </w:tc>
        <w:tc>
          <w:tcPr>
            <w:tcW w:w="1800" w:type="dxa"/>
            <w:vAlign w:val="bottom"/>
          </w:tcPr>
          <w:p w:rsidR="00875733" w:rsidRPr="0032695A" w:rsidRDefault="00875733" w:rsidP="00661909">
            <w:pPr>
              <w:pStyle w:val="Default"/>
              <w:tabs>
                <w:tab w:val="left" w:pos="360"/>
              </w:tabs>
              <w:rPr>
                <w:sz w:val="22"/>
                <w:szCs w:val="22"/>
                <w:u w:val="single"/>
              </w:rPr>
            </w:pPr>
            <w:r w:rsidRPr="0032695A">
              <w:rPr>
                <w:sz w:val="22"/>
                <w:szCs w:val="22"/>
                <w:u w:val="single"/>
              </w:rPr>
              <w:t>$</w:t>
            </w:r>
            <w:r w:rsidR="003B63F7">
              <w:rPr>
                <w:sz w:val="22"/>
                <w:szCs w:val="22"/>
                <w:u w:val="single"/>
              </w:rPr>
              <w:t>17</w:t>
            </w:r>
            <w:r w:rsidR="00D765B5">
              <w:rPr>
                <w:sz w:val="22"/>
                <w:szCs w:val="22"/>
                <w:u w:val="single"/>
              </w:rPr>
              <w:t>0</w:t>
            </w:r>
            <w:r w:rsidR="00661909">
              <w:rPr>
                <w:sz w:val="22"/>
                <w:szCs w:val="22"/>
                <w:u w:val="single"/>
              </w:rPr>
              <w:t>,000</w:t>
            </w:r>
          </w:p>
        </w:tc>
      </w:tr>
      <w:tr w:rsidR="00875733" w:rsidRPr="0032695A">
        <w:trPr>
          <w:trHeight w:val="378"/>
        </w:trPr>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Revised Nutrient Strategy </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Website</w:t>
            </w:r>
            <w:r w:rsidR="005A7CCB">
              <w:rPr>
                <w:sz w:val="22"/>
                <w:szCs w:val="22"/>
              </w:rPr>
              <w:t xml:space="preserve"> and Listserv</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Coordination &amp; Reporting</w:t>
            </w:r>
            <w:r w:rsidRPr="0032695A">
              <w:rPr>
                <w:rStyle w:val="FootnoteReference"/>
                <w:sz w:val="22"/>
                <w:szCs w:val="22"/>
              </w:rPr>
              <w:footnoteReference w:id="2"/>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b/>
                <w:sz w:val="22"/>
                <w:szCs w:val="22"/>
              </w:rPr>
            </w:pP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DF21CC" w:rsidP="00BD23D1">
            <w:pPr>
              <w:pStyle w:val="Default"/>
              <w:tabs>
                <w:tab w:val="left" w:pos="360"/>
              </w:tabs>
              <w:rPr>
                <w:sz w:val="22"/>
                <w:szCs w:val="22"/>
                <w:u w:val="single"/>
              </w:rPr>
            </w:pPr>
            <w:r>
              <w:rPr>
                <w:sz w:val="22"/>
                <w:szCs w:val="22"/>
                <w:u w:val="single"/>
              </w:rPr>
              <w:t>Task</w:t>
            </w:r>
            <w:r w:rsidR="00C03FC4">
              <w:rPr>
                <w:sz w:val="22"/>
                <w:szCs w:val="22"/>
                <w:u w:val="single"/>
              </w:rPr>
              <w:t xml:space="preserve"> #3</w:t>
            </w:r>
            <w:r w:rsidR="00875733" w:rsidRPr="0032695A">
              <w:rPr>
                <w:sz w:val="22"/>
                <w:szCs w:val="22"/>
                <w:u w:val="single"/>
              </w:rPr>
              <w:t>: Suisun and South Bay Box Models</w:t>
            </w:r>
          </w:p>
        </w:tc>
        <w:tc>
          <w:tcPr>
            <w:tcW w:w="1800" w:type="dxa"/>
            <w:vAlign w:val="bottom"/>
          </w:tcPr>
          <w:p w:rsidR="00875733" w:rsidRPr="0032695A" w:rsidRDefault="00875733" w:rsidP="00BD23D1">
            <w:pPr>
              <w:pStyle w:val="Default"/>
              <w:tabs>
                <w:tab w:val="left" w:pos="360"/>
              </w:tabs>
              <w:rPr>
                <w:sz w:val="22"/>
                <w:szCs w:val="22"/>
                <w:u w:val="single"/>
              </w:rPr>
            </w:pPr>
            <w:r w:rsidRPr="0032695A">
              <w:rPr>
                <w:sz w:val="22"/>
                <w:szCs w:val="22"/>
                <w:u w:val="single"/>
              </w:rPr>
              <w:t>$75,000</w:t>
            </w:r>
            <w:r>
              <w:rPr>
                <w:rStyle w:val="FootnoteReference"/>
                <w:sz w:val="22"/>
                <w:szCs w:val="22"/>
                <w:u w:val="single"/>
              </w:rPr>
              <w:footnoteReference w:id="3"/>
            </w: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Box model study plan</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Model data compilation</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9170AA" w:rsidRDefault="00875733" w:rsidP="00136233">
            <w:pPr>
              <w:pStyle w:val="Default"/>
              <w:tabs>
                <w:tab w:val="left" w:pos="360"/>
              </w:tabs>
              <w:rPr>
                <w:sz w:val="22"/>
                <w:szCs w:val="22"/>
                <w:vertAlign w:val="superscript"/>
              </w:rPr>
            </w:pPr>
            <w:r w:rsidRPr="0032695A">
              <w:rPr>
                <w:sz w:val="22"/>
                <w:szCs w:val="22"/>
              </w:rPr>
              <w:t xml:space="preserve">      </w:t>
            </w:r>
            <w:r w:rsidR="00136233">
              <w:rPr>
                <w:sz w:val="22"/>
                <w:szCs w:val="22"/>
              </w:rPr>
              <w:t>Model development, calibration, and validation</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CE0002" w:rsidRDefault="00DF21CC" w:rsidP="00403815">
            <w:pPr>
              <w:pStyle w:val="Default"/>
              <w:tabs>
                <w:tab w:val="left" w:pos="360"/>
              </w:tabs>
              <w:rPr>
                <w:sz w:val="22"/>
                <w:szCs w:val="22"/>
                <w:u w:val="single"/>
              </w:rPr>
            </w:pPr>
            <w:r w:rsidRPr="00CE0002">
              <w:rPr>
                <w:sz w:val="22"/>
                <w:szCs w:val="22"/>
                <w:u w:val="single"/>
              </w:rPr>
              <w:t>Task</w:t>
            </w:r>
            <w:r w:rsidR="00C03FC4" w:rsidRPr="00CE0002">
              <w:rPr>
                <w:sz w:val="22"/>
                <w:szCs w:val="22"/>
                <w:u w:val="single"/>
              </w:rPr>
              <w:t xml:space="preserve"> #4</w:t>
            </w:r>
            <w:r w:rsidR="00403815" w:rsidRPr="00CE0002">
              <w:rPr>
                <w:sz w:val="22"/>
                <w:szCs w:val="22"/>
                <w:u w:val="single"/>
              </w:rPr>
              <w:t>: Synthesis of Science, Suisun Bay</w:t>
            </w:r>
          </w:p>
        </w:tc>
        <w:tc>
          <w:tcPr>
            <w:tcW w:w="1800" w:type="dxa"/>
            <w:vAlign w:val="bottom"/>
          </w:tcPr>
          <w:p w:rsidR="00875733" w:rsidRPr="0032695A" w:rsidRDefault="00875733" w:rsidP="00BD23D1">
            <w:pPr>
              <w:pStyle w:val="Default"/>
              <w:tabs>
                <w:tab w:val="left" w:pos="360"/>
              </w:tabs>
              <w:rPr>
                <w:sz w:val="22"/>
                <w:szCs w:val="22"/>
              </w:rPr>
            </w:pPr>
            <w:r w:rsidRPr="0032695A">
              <w:rPr>
                <w:sz w:val="22"/>
                <w:szCs w:val="22"/>
                <w:u w:val="single"/>
              </w:rPr>
              <w:t>$75,000</w:t>
            </w: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Suisun Bay study plan</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r w:rsidRPr="0032695A">
              <w:rPr>
                <w:sz w:val="22"/>
                <w:szCs w:val="22"/>
              </w:rPr>
              <w:t xml:space="preserve">      Ammonium impacts technical report</w:t>
            </w: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32695A" w:rsidRDefault="00875733" w:rsidP="00BD23D1">
            <w:pPr>
              <w:pStyle w:val="Default"/>
              <w:tabs>
                <w:tab w:val="left" w:pos="360"/>
              </w:tabs>
              <w:rPr>
                <w:sz w:val="22"/>
                <w:szCs w:val="22"/>
              </w:rPr>
            </w:pPr>
          </w:p>
        </w:tc>
        <w:tc>
          <w:tcPr>
            <w:tcW w:w="1800" w:type="dxa"/>
            <w:vAlign w:val="bottom"/>
          </w:tcPr>
          <w:p w:rsidR="00875733" w:rsidRPr="0032695A" w:rsidRDefault="00875733" w:rsidP="00BD23D1">
            <w:pPr>
              <w:pStyle w:val="Default"/>
              <w:tabs>
                <w:tab w:val="left" w:pos="360"/>
              </w:tabs>
              <w:rPr>
                <w:sz w:val="22"/>
                <w:szCs w:val="22"/>
              </w:rPr>
            </w:pPr>
          </w:p>
        </w:tc>
      </w:tr>
      <w:tr w:rsidR="00875733" w:rsidRPr="0032695A">
        <w:tc>
          <w:tcPr>
            <w:tcW w:w="5418" w:type="dxa"/>
            <w:vAlign w:val="bottom"/>
          </w:tcPr>
          <w:p w:rsidR="00875733" w:rsidRPr="00CE0002" w:rsidRDefault="00875733" w:rsidP="00BD23D1">
            <w:pPr>
              <w:pStyle w:val="Default"/>
              <w:tabs>
                <w:tab w:val="left" w:pos="360"/>
              </w:tabs>
              <w:ind w:left="720"/>
              <w:rPr>
                <w:b/>
                <w:szCs w:val="22"/>
              </w:rPr>
            </w:pPr>
            <w:r w:rsidRPr="00CE0002">
              <w:rPr>
                <w:b/>
                <w:szCs w:val="22"/>
              </w:rPr>
              <w:t>Total</w:t>
            </w:r>
          </w:p>
        </w:tc>
        <w:tc>
          <w:tcPr>
            <w:tcW w:w="1800" w:type="dxa"/>
            <w:vAlign w:val="bottom"/>
          </w:tcPr>
          <w:p w:rsidR="00875733" w:rsidRPr="00CE0002" w:rsidRDefault="00875733" w:rsidP="00BD23D1">
            <w:pPr>
              <w:pStyle w:val="Default"/>
              <w:tabs>
                <w:tab w:val="left" w:pos="360"/>
              </w:tabs>
              <w:rPr>
                <w:b/>
                <w:szCs w:val="22"/>
              </w:rPr>
            </w:pPr>
            <w:r w:rsidRPr="00CE0002">
              <w:rPr>
                <w:b/>
                <w:szCs w:val="22"/>
              </w:rPr>
              <w:t>$350,000</w:t>
            </w:r>
          </w:p>
        </w:tc>
      </w:tr>
    </w:tbl>
    <w:p w:rsidR="00CE0002" w:rsidRDefault="00CE0002" w:rsidP="00642321">
      <w:pPr>
        <w:pStyle w:val="Default"/>
        <w:tabs>
          <w:tab w:val="left" w:pos="360"/>
        </w:tabs>
      </w:pPr>
    </w:p>
    <w:p w:rsidR="00642321" w:rsidRPr="00CF6D14" w:rsidRDefault="00C23757" w:rsidP="00642321">
      <w:pPr>
        <w:pStyle w:val="Default"/>
        <w:tabs>
          <w:tab w:val="left" w:pos="360"/>
        </w:tabs>
      </w:pPr>
      <w:r>
        <w:t>**NOTE: Budget</w:t>
      </w:r>
      <w:r w:rsidR="00CE0002">
        <w:t xml:space="preserve"> is still under development. Some funds that are under Task 2 </w:t>
      </w:r>
      <w:r w:rsidR="000E1827">
        <w:t xml:space="preserve">are </w:t>
      </w:r>
      <w:r w:rsidR="00CE0002">
        <w:t xml:space="preserve">associated with my and other staff time will be </w:t>
      </w:r>
      <w:r w:rsidR="000E1827">
        <w:t xml:space="preserve">actually be </w:t>
      </w:r>
      <w:r w:rsidR="00CE0002">
        <w:t>direct</w:t>
      </w:r>
      <w:r>
        <w:t xml:space="preserve">ed toward </w:t>
      </w:r>
      <w:r w:rsidR="000E1827">
        <w:t>work in Tasks 3 and 4.</w:t>
      </w:r>
    </w:p>
    <w:sectPr w:rsidR="00642321" w:rsidRPr="00CF6D14" w:rsidSect="00E05F0C">
      <w:headerReference w:type="default" r:id="rId9"/>
      <w:footerReference w:type="default" r:id="rId10"/>
      <w:pgSz w:w="12240" w:h="15840"/>
      <w:pgMar w:top="1440" w:right="1800" w:bottom="1440" w:left="1800"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57" w:rsidRDefault="00C23757" w:rsidP="00785B9A">
      <w:r>
        <w:separator/>
      </w:r>
    </w:p>
  </w:endnote>
  <w:endnote w:type="continuationSeparator" w:id="0">
    <w:p w:rsidR="00C23757" w:rsidRDefault="00C23757" w:rsidP="007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89403"/>
      <w:docPartObj>
        <w:docPartGallery w:val="Page Numbers (Bottom of Page)"/>
        <w:docPartUnique/>
      </w:docPartObj>
    </w:sdtPr>
    <w:sdtEndPr>
      <w:rPr>
        <w:noProof/>
      </w:rPr>
    </w:sdtEndPr>
    <w:sdtContent>
      <w:p w:rsidR="00C23757" w:rsidRDefault="00FD55B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23757" w:rsidRDefault="00C2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57" w:rsidRDefault="00C23757" w:rsidP="00785B9A">
      <w:r>
        <w:separator/>
      </w:r>
    </w:p>
  </w:footnote>
  <w:footnote w:type="continuationSeparator" w:id="0">
    <w:p w:rsidR="00C23757" w:rsidRDefault="00C23757" w:rsidP="00785B9A">
      <w:r>
        <w:continuationSeparator/>
      </w:r>
    </w:p>
  </w:footnote>
  <w:footnote w:id="1">
    <w:p w:rsidR="00C23757" w:rsidRDefault="00C23757" w:rsidP="00C547A3">
      <w:pPr>
        <w:pStyle w:val="NormalWeb"/>
        <w:spacing w:before="2" w:afterLines="0"/>
      </w:pPr>
      <w:r>
        <w:rPr>
          <w:rStyle w:val="FootnoteReference"/>
        </w:rPr>
        <w:footnoteRef/>
      </w:r>
      <w:r>
        <w:t xml:space="preserve"> </w:t>
      </w:r>
      <w:r>
        <w:rPr>
          <w:rFonts w:ascii="TimesNewRoman,Bold" w:hAnsi="TimesNewRoman,Bold"/>
          <w:sz w:val="22"/>
          <w:szCs w:val="22"/>
        </w:rPr>
        <w:t xml:space="preserve">A Framework for Research Addressing the Role of Ammonia/Ammonium in the Sacramento-San Joaquin Delta and the San Francisco Bay Estuary Ecosystem </w:t>
      </w:r>
    </w:p>
    <w:p w:rsidR="00C23757" w:rsidRDefault="00C23757" w:rsidP="00C547A3">
      <w:pPr>
        <w:pStyle w:val="FootnoteText"/>
      </w:pPr>
      <w:r w:rsidRPr="00FB6433">
        <w:rPr>
          <w:sz w:val="20"/>
        </w:rPr>
        <w:t xml:space="preserve"> </w:t>
      </w:r>
      <w:hyperlink r:id="rId1" w:history="1">
        <w:r w:rsidRPr="00FB6433">
          <w:rPr>
            <w:rStyle w:val="Hyperlink"/>
            <w:sz w:val="20"/>
          </w:rPr>
          <w:t>http://www.swrcb.ca.gov/centralvalley/water_issues/delta_water_quality/ambient_ammonia_concentrations/ammonia_mem.pdf</w:t>
        </w:r>
      </w:hyperlink>
    </w:p>
  </w:footnote>
  <w:footnote w:id="2">
    <w:p w:rsidR="00C23757" w:rsidRPr="004D4E79" w:rsidRDefault="00C23757" w:rsidP="00642321">
      <w:pPr>
        <w:pStyle w:val="FootnoteText"/>
        <w:rPr>
          <w:sz w:val="20"/>
          <w:szCs w:val="20"/>
        </w:rPr>
      </w:pPr>
      <w:r w:rsidRPr="004D4E79">
        <w:rPr>
          <w:rStyle w:val="FootnoteReference"/>
          <w:sz w:val="20"/>
          <w:szCs w:val="20"/>
        </w:rPr>
        <w:footnoteRef/>
      </w:r>
      <w:r w:rsidRPr="004D4E79">
        <w:rPr>
          <w:sz w:val="20"/>
          <w:szCs w:val="20"/>
        </w:rPr>
        <w:t xml:space="preserve"> Includes coordination for and reporting on the status of </w:t>
      </w:r>
      <w:r>
        <w:rPr>
          <w:sz w:val="20"/>
          <w:szCs w:val="20"/>
        </w:rPr>
        <w:t>Task #2,</w:t>
      </w:r>
      <w:r w:rsidRPr="004D4E79">
        <w:rPr>
          <w:sz w:val="20"/>
          <w:szCs w:val="20"/>
        </w:rPr>
        <w:t xml:space="preserve"> #</w:t>
      </w:r>
      <w:r>
        <w:rPr>
          <w:sz w:val="20"/>
          <w:szCs w:val="20"/>
        </w:rPr>
        <w:t>3,</w:t>
      </w:r>
      <w:r w:rsidRPr="004D4E79">
        <w:rPr>
          <w:sz w:val="20"/>
          <w:szCs w:val="20"/>
        </w:rPr>
        <w:t xml:space="preserve"> and </w:t>
      </w:r>
      <w:r>
        <w:rPr>
          <w:sz w:val="20"/>
          <w:szCs w:val="20"/>
        </w:rPr>
        <w:t>#4</w:t>
      </w:r>
      <w:r w:rsidRPr="004D4E79">
        <w:rPr>
          <w:sz w:val="20"/>
          <w:szCs w:val="20"/>
        </w:rPr>
        <w:t xml:space="preserve"> to the Regional Water Board and stakeholders. </w:t>
      </w:r>
    </w:p>
  </w:footnote>
  <w:footnote w:id="3">
    <w:p w:rsidR="00C23757" w:rsidRPr="009170AA" w:rsidRDefault="00C23757" w:rsidP="00642321">
      <w:pPr>
        <w:pStyle w:val="FootnoteText"/>
        <w:rPr>
          <w:sz w:val="20"/>
        </w:rPr>
      </w:pPr>
      <w:r>
        <w:rPr>
          <w:rStyle w:val="FootnoteReference"/>
        </w:rPr>
        <w:footnoteRef/>
      </w:r>
      <w:r>
        <w:t xml:space="preserve"> </w:t>
      </w:r>
      <w:r w:rsidRPr="009170AA">
        <w:rPr>
          <w:sz w:val="20"/>
        </w:rPr>
        <w:t xml:space="preserve">$75k </w:t>
      </w:r>
      <w:r>
        <w:rPr>
          <w:sz w:val="20"/>
        </w:rPr>
        <w:t>supports first 6 months of effort for this 2 yr task, which is 25% of its anticipated total cost through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685"/>
      <w:gridCol w:w="2185"/>
    </w:tblGrid>
    <w:tr w:rsidR="00C23757">
      <w:trPr>
        <w:trHeight w:val="288"/>
      </w:trPr>
      <w:tc>
        <w:tcPr>
          <w:tcW w:w="6685" w:type="dxa"/>
        </w:tcPr>
        <w:p w:rsidR="00C23757" w:rsidRDefault="00C23757" w:rsidP="00E05F0C">
          <w:pPr>
            <w:pStyle w:val="Header"/>
          </w:pPr>
          <w:r>
            <w:t xml:space="preserve">San Francisco Bay Nutrient Strategy Support, </w:t>
          </w:r>
          <w:r>
            <w:tab/>
            <w:t>January XX, 2012</w:t>
          </w:r>
        </w:p>
        <w:p w:rsidR="00C23757" w:rsidRDefault="00C23757" w:rsidP="00E05F0C">
          <w:pPr>
            <w:pStyle w:val="Header"/>
          </w:pPr>
          <w:r>
            <w:t>ASC/SFEI Statement of Work</w:t>
          </w:r>
        </w:p>
        <w:p w:rsidR="00C23757" w:rsidRDefault="00C23757" w:rsidP="00E05F0C">
          <w:pPr>
            <w:pStyle w:val="Header"/>
            <w:jc w:val="right"/>
            <w:rPr>
              <w:rFonts w:asciiTheme="majorHAnsi" w:eastAsiaTheme="majorEastAsia" w:hAnsiTheme="majorHAnsi" w:cstheme="majorBidi"/>
              <w:sz w:val="36"/>
              <w:szCs w:val="36"/>
            </w:rPr>
          </w:pPr>
        </w:p>
      </w:tc>
      <w:tc>
        <w:tcPr>
          <w:tcW w:w="2185" w:type="dxa"/>
        </w:tcPr>
        <w:p w:rsidR="00C23757" w:rsidRPr="00E05F0C" w:rsidRDefault="00C23757" w:rsidP="00E05F0C">
          <w:pPr>
            <w:pStyle w:val="Header"/>
            <w:rPr>
              <w:rFonts w:asciiTheme="majorHAnsi" w:eastAsiaTheme="majorEastAsia" w:hAnsiTheme="majorHAnsi" w:cstheme="majorHAnsi"/>
              <w:bCs/>
              <w:color w:val="4F81BD" w:themeColor="accent1"/>
            </w:rPr>
          </w:pPr>
          <w:r w:rsidRPr="007A6ADC">
            <w:rPr>
              <w:rFonts w:asciiTheme="majorHAnsi" w:eastAsiaTheme="majorEastAsia" w:hAnsiTheme="majorHAnsi" w:cstheme="majorHAnsi"/>
              <w:bCs/>
              <w:color w:val="4F81BD" w:themeColor="accent1"/>
            </w:rPr>
            <w:t>January 2012</w:t>
          </w:r>
        </w:p>
      </w:tc>
    </w:tr>
  </w:tbl>
  <w:p w:rsidR="00C23757" w:rsidRDefault="00C2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3F4"/>
    <w:multiLevelType w:val="hybridMultilevel"/>
    <w:tmpl w:val="99C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0A64"/>
    <w:multiLevelType w:val="hybridMultilevel"/>
    <w:tmpl w:val="9A58BA22"/>
    <w:lvl w:ilvl="0" w:tplc="BE125E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70D92"/>
    <w:multiLevelType w:val="hybridMultilevel"/>
    <w:tmpl w:val="8098D7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CD"/>
    <w:rsid w:val="00000015"/>
    <w:rsid w:val="000054CD"/>
    <w:rsid w:val="00006962"/>
    <w:rsid w:val="00031F79"/>
    <w:rsid w:val="00034ECA"/>
    <w:rsid w:val="00037EC6"/>
    <w:rsid w:val="00044291"/>
    <w:rsid w:val="00045861"/>
    <w:rsid w:val="00052411"/>
    <w:rsid w:val="00053FE2"/>
    <w:rsid w:val="000676C1"/>
    <w:rsid w:val="0007087A"/>
    <w:rsid w:val="00080F55"/>
    <w:rsid w:val="0008130C"/>
    <w:rsid w:val="00082F9A"/>
    <w:rsid w:val="00090611"/>
    <w:rsid w:val="000B13E2"/>
    <w:rsid w:val="000B2557"/>
    <w:rsid w:val="000C4DFE"/>
    <w:rsid w:val="000C7E10"/>
    <w:rsid w:val="000D0AA9"/>
    <w:rsid w:val="000E019A"/>
    <w:rsid w:val="000E16E5"/>
    <w:rsid w:val="000E1827"/>
    <w:rsid w:val="000E35F3"/>
    <w:rsid w:val="000F0556"/>
    <w:rsid w:val="000F5862"/>
    <w:rsid w:val="001072CA"/>
    <w:rsid w:val="00107A25"/>
    <w:rsid w:val="001103C0"/>
    <w:rsid w:val="001129A5"/>
    <w:rsid w:val="00121DDC"/>
    <w:rsid w:val="0012240B"/>
    <w:rsid w:val="0012492B"/>
    <w:rsid w:val="00125C1E"/>
    <w:rsid w:val="00125E10"/>
    <w:rsid w:val="00130BAE"/>
    <w:rsid w:val="00133DDB"/>
    <w:rsid w:val="00136233"/>
    <w:rsid w:val="00136620"/>
    <w:rsid w:val="00141674"/>
    <w:rsid w:val="00145258"/>
    <w:rsid w:val="001453FF"/>
    <w:rsid w:val="001512D9"/>
    <w:rsid w:val="00154402"/>
    <w:rsid w:val="0015560A"/>
    <w:rsid w:val="00162517"/>
    <w:rsid w:val="001714FE"/>
    <w:rsid w:val="00171E9F"/>
    <w:rsid w:val="00171EAC"/>
    <w:rsid w:val="00180E1F"/>
    <w:rsid w:val="001845D3"/>
    <w:rsid w:val="00190C87"/>
    <w:rsid w:val="00197476"/>
    <w:rsid w:val="001A5086"/>
    <w:rsid w:val="001A6169"/>
    <w:rsid w:val="001B7ECF"/>
    <w:rsid w:val="001C103E"/>
    <w:rsid w:val="001C30E0"/>
    <w:rsid w:val="001C7FA8"/>
    <w:rsid w:val="001D0C41"/>
    <w:rsid w:val="001D342C"/>
    <w:rsid w:val="001D6D83"/>
    <w:rsid w:val="001F17C2"/>
    <w:rsid w:val="001F5935"/>
    <w:rsid w:val="001F5EAD"/>
    <w:rsid w:val="001F6AAF"/>
    <w:rsid w:val="002053C0"/>
    <w:rsid w:val="00212DE2"/>
    <w:rsid w:val="00222C1C"/>
    <w:rsid w:val="00233F35"/>
    <w:rsid w:val="00236123"/>
    <w:rsid w:val="00243BF5"/>
    <w:rsid w:val="00245F22"/>
    <w:rsid w:val="00271588"/>
    <w:rsid w:val="00295FF9"/>
    <w:rsid w:val="002A1B42"/>
    <w:rsid w:val="002C0819"/>
    <w:rsid w:val="002C39DC"/>
    <w:rsid w:val="002C5343"/>
    <w:rsid w:val="002E16A5"/>
    <w:rsid w:val="002F6C7A"/>
    <w:rsid w:val="002F7C31"/>
    <w:rsid w:val="00306449"/>
    <w:rsid w:val="00312965"/>
    <w:rsid w:val="00317CD1"/>
    <w:rsid w:val="00324B61"/>
    <w:rsid w:val="00346FBB"/>
    <w:rsid w:val="0035177E"/>
    <w:rsid w:val="00362BE1"/>
    <w:rsid w:val="003678B4"/>
    <w:rsid w:val="00372DDC"/>
    <w:rsid w:val="0037488A"/>
    <w:rsid w:val="003805B7"/>
    <w:rsid w:val="0038298F"/>
    <w:rsid w:val="00396EDA"/>
    <w:rsid w:val="003A7C82"/>
    <w:rsid w:val="003B63F7"/>
    <w:rsid w:val="003B69A4"/>
    <w:rsid w:val="003C1971"/>
    <w:rsid w:val="003C1BB7"/>
    <w:rsid w:val="003C5E5D"/>
    <w:rsid w:val="003C72CB"/>
    <w:rsid w:val="003F2A2F"/>
    <w:rsid w:val="00403815"/>
    <w:rsid w:val="00405987"/>
    <w:rsid w:val="00412247"/>
    <w:rsid w:val="00413274"/>
    <w:rsid w:val="004144F3"/>
    <w:rsid w:val="004172E0"/>
    <w:rsid w:val="004254EE"/>
    <w:rsid w:val="00430F33"/>
    <w:rsid w:val="004451E4"/>
    <w:rsid w:val="0044674C"/>
    <w:rsid w:val="00446E5D"/>
    <w:rsid w:val="00472DE5"/>
    <w:rsid w:val="00474F50"/>
    <w:rsid w:val="00475D2E"/>
    <w:rsid w:val="00481F60"/>
    <w:rsid w:val="00486890"/>
    <w:rsid w:val="00487CFA"/>
    <w:rsid w:val="0049393D"/>
    <w:rsid w:val="004A25B9"/>
    <w:rsid w:val="004B7121"/>
    <w:rsid w:val="004B75C7"/>
    <w:rsid w:val="004C3C50"/>
    <w:rsid w:val="004D3E37"/>
    <w:rsid w:val="004F5F8C"/>
    <w:rsid w:val="00500D68"/>
    <w:rsid w:val="0050571C"/>
    <w:rsid w:val="00505DB8"/>
    <w:rsid w:val="00507F02"/>
    <w:rsid w:val="0051209A"/>
    <w:rsid w:val="00521CAB"/>
    <w:rsid w:val="005230C1"/>
    <w:rsid w:val="0052453F"/>
    <w:rsid w:val="00525AA9"/>
    <w:rsid w:val="005316FB"/>
    <w:rsid w:val="005401AA"/>
    <w:rsid w:val="00541791"/>
    <w:rsid w:val="005530D7"/>
    <w:rsid w:val="00562377"/>
    <w:rsid w:val="005674EE"/>
    <w:rsid w:val="00575BC2"/>
    <w:rsid w:val="0058073E"/>
    <w:rsid w:val="005942CD"/>
    <w:rsid w:val="005945FA"/>
    <w:rsid w:val="005A0D13"/>
    <w:rsid w:val="005A5A96"/>
    <w:rsid w:val="005A7CCB"/>
    <w:rsid w:val="005C7676"/>
    <w:rsid w:val="005D3A68"/>
    <w:rsid w:val="005D601D"/>
    <w:rsid w:val="005E3BD3"/>
    <w:rsid w:val="005F6583"/>
    <w:rsid w:val="005F7C22"/>
    <w:rsid w:val="00607F63"/>
    <w:rsid w:val="00610548"/>
    <w:rsid w:val="00634CE0"/>
    <w:rsid w:val="006415E7"/>
    <w:rsid w:val="00642321"/>
    <w:rsid w:val="00661909"/>
    <w:rsid w:val="00663DAA"/>
    <w:rsid w:val="00671A3C"/>
    <w:rsid w:val="00690CE6"/>
    <w:rsid w:val="006A22FC"/>
    <w:rsid w:val="006B0090"/>
    <w:rsid w:val="006B33CD"/>
    <w:rsid w:val="006B50EC"/>
    <w:rsid w:val="006B7981"/>
    <w:rsid w:val="006C3993"/>
    <w:rsid w:val="006C5B24"/>
    <w:rsid w:val="006F4D80"/>
    <w:rsid w:val="00700421"/>
    <w:rsid w:val="00701A73"/>
    <w:rsid w:val="00723662"/>
    <w:rsid w:val="0075211E"/>
    <w:rsid w:val="0075437A"/>
    <w:rsid w:val="007567AD"/>
    <w:rsid w:val="00761D46"/>
    <w:rsid w:val="0076548D"/>
    <w:rsid w:val="00775FDA"/>
    <w:rsid w:val="00785B9A"/>
    <w:rsid w:val="00791427"/>
    <w:rsid w:val="007926B7"/>
    <w:rsid w:val="00793575"/>
    <w:rsid w:val="00795837"/>
    <w:rsid w:val="00795E84"/>
    <w:rsid w:val="00797C58"/>
    <w:rsid w:val="007A4CE2"/>
    <w:rsid w:val="007A6ADC"/>
    <w:rsid w:val="007B4261"/>
    <w:rsid w:val="007B5708"/>
    <w:rsid w:val="007B6AD9"/>
    <w:rsid w:val="007C2830"/>
    <w:rsid w:val="007C48C7"/>
    <w:rsid w:val="007D4981"/>
    <w:rsid w:val="007D7F8F"/>
    <w:rsid w:val="007E0F54"/>
    <w:rsid w:val="007F1BF0"/>
    <w:rsid w:val="007F5B38"/>
    <w:rsid w:val="008021D3"/>
    <w:rsid w:val="00804DEB"/>
    <w:rsid w:val="00811163"/>
    <w:rsid w:val="00811225"/>
    <w:rsid w:val="00825FD3"/>
    <w:rsid w:val="00830FF5"/>
    <w:rsid w:val="00841C65"/>
    <w:rsid w:val="00850F02"/>
    <w:rsid w:val="00853254"/>
    <w:rsid w:val="00854997"/>
    <w:rsid w:val="00875733"/>
    <w:rsid w:val="00881A65"/>
    <w:rsid w:val="00886719"/>
    <w:rsid w:val="00895454"/>
    <w:rsid w:val="008A1F47"/>
    <w:rsid w:val="008A3E99"/>
    <w:rsid w:val="008B1149"/>
    <w:rsid w:val="008B199E"/>
    <w:rsid w:val="008B38EA"/>
    <w:rsid w:val="008D070E"/>
    <w:rsid w:val="008D282D"/>
    <w:rsid w:val="008E10BA"/>
    <w:rsid w:val="008E123E"/>
    <w:rsid w:val="008F1163"/>
    <w:rsid w:val="008F5EEE"/>
    <w:rsid w:val="008F6ED7"/>
    <w:rsid w:val="009115B5"/>
    <w:rsid w:val="00917DCF"/>
    <w:rsid w:val="00920AA0"/>
    <w:rsid w:val="00921E45"/>
    <w:rsid w:val="00922993"/>
    <w:rsid w:val="009245ED"/>
    <w:rsid w:val="0093140D"/>
    <w:rsid w:val="00941060"/>
    <w:rsid w:val="00950F58"/>
    <w:rsid w:val="00952962"/>
    <w:rsid w:val="00953ED8"/>
    <w:rsid w:val="00961086"/>
    <w:rsid w:val="00962020"/>
    <w:rsid w:val="00965E9D"/>
    <w:rsid w:val="009A18FB"/>
    <w:rsid w:val="009A207D"/>
    <w:rsid w:val="009A75FE"/>
    <w:rsid w:val="009B2ABC"/>
    <w:rsid w:val="009C1BBA"/>
    <w:rsid w:val="009C205E"/>
    <w:rsid w:val="009C5959"/>
    <w:rsid w:val="009D01BF"/>
    <w:rsid w:val="009D183B"/>
    <w:rsid w:val="009D2555"/>
    <w:rsid w:val="009E341A"/>
    <w:rsid w:val="009F308D"/>
    <w:rsid w:val="009F7E14"/>
    <w:rsid w:val="00A00A4B"/>
    <w:rsid w:val="00A057CC"/>
    <w:rsid w:val="00A06392"/>
    <w:rsid w:val="00A06F77"/>
    <w:rsid w:val="00A113C2"/>
    <w:rsid w:val="00A14214"/>
    <w:rsid w:val="00A22DE9"/>
    <w:rsid w:val="00A23A32"/>
    <w:rsid w:val="00A27DD5"/>
    <w:rsid w:val="00A319FD"/>
    <w:rsid w:val="00A33B91"/>
    <w:rsid w:val="00A413D4"/>
    <w:rsid w:val="00A444F4"/>
    <w:rsid w:val="00A531C7"/>
    <w:rsid w:val="00A57C1E"/>
    <w:rsid w:val="00A66913"/>
    <w:rsid w:val="00A76758"/>
    <w:rsid w:val="00A774D6"/>
    <w:rsid w:val="00A77D90"/>
    <w:rsid w:val="00A901CD"/>
    <w:rsid w:val="00AA06E0"/>
    <w:rsid w:val="00AA08AE"/>
    <w:rsid w:val="00AB3D0B"/>
    <w:rsid w:val="00AB75AA"/>
    <w:rsid w:val="00AF3CCA"/>
    <w:rsid w:val="00B1063F"/>
    <w:rsid w:val="00B135BC"/>
    <w:rsid w:val="00B35AE7"/>
    <w:rsid w:val="00B411DF"/>
    <w:rsid w:val="00B4450F"/>
    <w:rsid w:val="00B45261"/>
    <w:rsid w:val="00B67CE0"/>
    <w:rsid w:val="00B71CEF"/>
    <w:rsid w:val="00B74586"/>
    <w:rsid w:val="00B74692"/>
    <w:rsid w:val="00B808CA"/>
    <w:rsid w:val="00B96293"/>
    <w:rsid w:val="00BA7131"/>
    <w:rsid w:val="00BC224C"/>
    <w:rsid w:val="00BC78DD"/>
    <w:rsid w:val="00BD23D1"/>
    <w:rsid w:val="00BD3428"/>
    <w:rsid w:val="00BE2EA1"/>
    <w:rsid w:val="00BE6D9D"/>
    <w:rsid w:val="00BF3BBB"/>
    <w:rsid w:val="00BF41AB"/>
    <w:rsid w:val="00BF711E"/>
    <w:rsid w:val="00C03FC4"/>
    <w:rsid w:val="00C17BCB"/>
    <w:rsid w:val="00C23757"/>
    <w:rsid w:val="00C338DD"/>
    <w:rsid w:val="00C41CEA"/>
    <w:rsid w:val="00C435FA"/>
    <w:rsid w:val="00C52051"/>
    <w:rsid w:val="00C547A3"/>
    <w:rsid w:val="00C55744"/>
    <w:rsid w:val="00C62357"/>
    <w:rsid w:val="00C64CDE"/>
    <w:rsid w:val="00C64E74"/>
    <w:rsid w:val="00C72796"/>
    <w:rsid w:val="00C87569"/>
    <w:rsid w:val="00C8776F"/>
    <w:rsid w:val="00C9780A"/>
    <w:rsid w:val="00CA41FF"/>
    <w:rsid w:val="00CA774A"/>
    <w:rsid w:val="00CB1705"/>
    <w:rsid w:val="00CC1322"/>
    <w:rsid w:val="00CC2EC9"/>
    <w:rsid w:val="00CC3349"/>
    <w:rsid w:val="00CC3976"/>
    <w:rsid w:val="00CC3C90"/>
    <w:rsid w:val="00CC4089"/>
    <w:rsid w:val="00CC4CAC"/>
    <w:rsid w:val="00CC5341"/>
    <w:rsid w:val="00CC7AA0"/>
    <w:rsid w:val="00CE0002"/>
    <w:rsid w:val="00CE6B9F"/>
    <w:rsid w:val="00CF2DFD"/>
    <w:rsid w:val="00D004F8"/>
    <w:rsid w:val="00D02037"/>
    <w:rsid w:val="00D11118"/>
    <w:rsid w:val="00D24476"/>
    <w:rsid w:val="00D245DC"/>
    <w:rsid w:val="00D27425"/>
    <w:rsid w:val="00D30959"/>
    <w:rsid w:val="00D35065"/>
    <w:rsid w:val="00D35B72"/>
    <w:rsid w:val="00D43CF1"/>
    <w:rsid w:val="00D73E2A"/>
    <w:rsid w:val="00D759AF"/>
    <w:rsid w:val="00D765B5"/>
    <w:rsid w:val="00D8744F"/>
    <w:rsid w:val="00DA6B0F"/>
    <w:rsid w:val="00DB3055"/>
    <w:rsid w:val="00DC0C74"/>
    <w:rsid w:val="00DD66A2"/>
    <w:rsid w:val="00DE59DF"/>
    <w:rsid w:val="00DF1C76"/>
    <w:rsid w:val="00DF21CC"/>
    <w:rsid w:val="00DF24EC"/>
    <w:rsid w:val="00DF47EC"/>
    <w:rsid w:val="00DF7B6E"/>
    <w:rsid w:val="00E044D2"/>
    <w:rsid w:val="00E05F0C"/>
    <w:rsid w:val="00E07FD4"/>
    <w:rsid w:val="00E1619C"/>
    <w:rsid w:val="00E167B9"/>
    <w:rsid w:val="00E26537"/>
    <w:rsid w:val="00E2782C"/>
    <w:rsid w:val="00E31E3E"/>
    <w:rsid w:val="00E41308"/>
    <w:rsid w:val="00E43264"/>
    <w:rsid w:val="00E60AC6"/>
    <w:rsid w:val="00E60C21"/>
    <w:rsid w:val="00E627A3"/>
    <w:rsid w:val="00E6392F"/>
    <w:rsid w:val="00E66F3F"/>
    <w:rsid w:val="00E67A94"/>
    <w:rsid w:val="00E67BB6"/>
    <w:rsid w:val="00E75D6A"/>
    <w:rsid w:val="00E84790"/>
    <w:rsid w:val="00E86707"/>
    <w:rsid w:val="00E9089C"/>
    <w:rsid w:val="00E95657"/>
    <w:rsid w:val="00E9751E"/>
    <w:rsid w:val="00EA2028"/>
    <w:rsid w:val="00EC3E6D"/>
    <w:rsid w:val="00ED0C2F"/>
    <w:rsid w:val="00ED0DB5"/>
    <w:rsid w:val="00F022F6"/>
    <w:rsid w:val="00F04606"/>
    <w:rsid w:val="00F2489A"/>
    <w:rsid w:val="00F33F48"/>
    <w:rsid w:val="00F42BD1"/>
    <w:rsid w:val="00F434FC"/>
    <w:rsid w:val="00F55FC0"/>
    <w:rsid w:val="00F56AED"/>
    <w:rsid w:val="00F70F04"/>
    <w:rsid w:val="00F810ED"/>
    <w:rsid w:val="00F81B21"/>
    <w:rsid w:val="00F87350"/>
    <w:rsid w:val="00F914F1"/>
    <w:rsid w:val="00F919CD"/>
    <w:rsid w:val="00F92627"/>
    <w:rsid w:val="00FA0B15"/>
    <w:rsid w:val="00FA6395"/>
    <w:rsid w:val="00FB44D2"/>
    <w:rsid w:val="00FB6433"/>
    <w:rsid w:val="00FC1CEC"/>
    <w:rsid w:val="00FC476C"/>
    <w:rsid w:val="00FD015C"/>
    <w:rsid w:val="00FD4489"/>
    <w:rsid w:val="00FD55BA"/>
    <w:rsid w:val="00FD5CB3"/>
    <w:rsid w:val="00FE0447"/>
    <w:rsid w:val="00FE15E2"/>
    <w:rsid w:val="00FE314C"/>
    <w:rsid w:val="00FE3BC1"/>
    <w:rsid w:val="00FF4AB8"/>
    <w:rsid w:val="00FF5A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32924"/>
  </w:style>
  <w:style w:type="paragraph" w:styleId="Heading2">
    <w:name w:val="heading 2"/>
    <w:basedOn w:val="Normal"/>
    <w:next w:val="Normal"/>
    <w:link w:val="Heading2Char"/>
    <w:qFormat/>
    <w:rsid w:val="00525AA9"/>
    <w:pPr>
      <w:keepNext/>
      <w:spacing w:before="240" w:after="60"/>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AA9"/>
    <w:rPr>
      <w:rFonts w:ascii="Calibri" w:eastAsia="Times New Roman" w:hAnsi="Calibri" w:cs="Times New Roman"/>
      <w:b/>
      <w:bCs/>
      <w:i/>
      <w:iCs/>
      <w:sz w:val="28"/>
      <w:szCs w:val="28"/>
    </w:rPr>
  </w:style>
  <w:style w:type="paragraph" w:styleId="ListParagraph">
    <w:name w:val="List Paragraph"/>
    <w:basedOn w:val="Normal"/>
    <w:rsid w:val="00E167B9"/>
    <w:pPr>
      <w:ind w:left="720"/>
      <w:contextualSpacing/>
    </w:pPr>
  </w:style>
  <w:style w:type="paragraph" w:customStyle="1" w:styleId="Default">
    <w:name w:val="Default"/>
    <w:rsid w:val="00475D2E"/>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rsid w:val="007926B7"/>
    <w:pPr>
      <w:tabs>
        <w:tab w:val="center" w:pos="4320"/>
        <w:tab w:val="right" w:pos="8640"/>
      </w:tabs>
    </w:pPr>
  </w:style>
  <w:style w:type="character" w:customStyle="1" w:styleId="HeaderChar">
    <w:name w:val="Header Char"/>
    <w:basedOn w:val="DefaultParagraphFont"/>
    <w:link w:val="Header"/>
    <w:uiPriority w:val="99"/>
    <w:rsid w:val="007926B7"/>
  </w:style>
  <w:style w:type="paragraph" w:styleId="Footer">
    <w:name w:val="footer"/>
    <w:basedOn w:val="Normal"/>
    <w:link w:val="FooterChar"/>
    <w:uiPriority w:val="99"/>
    <w:rsid w:val="007926B7"/>
    <w:pPr>
      <w:tabs>
        <w:tab w:val="center" w:pos="4320"/>
        <w:tab w:val="right" w:pos="8640"/>
      </w:tabs>
    </w:pPr>
  </w:style>
  <w:style w:type="character" w:customStyle="1" w:styleId="FooterChar">
    <w:name w:val="Footer Char"/>
    <w:basedOn w:val="DefaultParagraphFont"/>
    <w:link w:val="Footer"/>
    <w:uiPriority w:val="99"/>
    <w:rsid w:val="007926B7"/>
  </w:style>
  <w:style w:type="character" w:customStyle="1" w:styleId="object">
    <w:name w:val="object"/>
    <w:basedOn w:val="DefaultParagraphFont"/>
    <w:rsid w:val="00953ED8"/>
  </w:style>
  <w:style w:type="paragraph" w:styleId="BalloonText">
    <w:name w:val="Balloon Text"/>
    <w:basedOn w:val="Normal"/>
    <w:link w:val="BalloonTextChar"/>
    <w:rsid w:val="00125C1E"/>
    <w:rPr>
      <w:rFonts w:ascii="Lucida Grande" w:hAnsi="Lucida Grande"/>
      <w:sz w:val="18"/>
      <w:szCs w:val="18"/>
    </w:rPr>
  </w:style>
  <w:style w:type="character" w:customStyle="1" w:styleId="BalloonTextChar">
    <w:name w:val="Balloon Text Char"/>
    <w:basedOn w:val="DefaultParagraphFont"/>
    <w:link w:val="BalloonText"/>
    <w:rsid w:val="00125C1E"/>
    <w:rPr>
      <w:rFonts w:ascii="Lucida Grande" w:hAnsi="Lucida Grande"/>
      <w:sz w:val="18"/>
      <w:szCs w:val="18"/>
    </w:rPr>
  </w:style>
  <w:style w:type="table" w:styleId="TableGrid">
    <w:name w:val="Table Grid"/>
    <w:basedOn w:val="TableNormal"/>
    <w:rsid w:val="002C08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D282D"/>
    <w:rPr>
      <w:sz w:val="16"/>
      <w:szCs w:val="16"/>
    </w:rPr>
  </w:style>
  <w:style w:type="paragraph" w:styleId="CommentText">
    <w:name w:val="annotation text"/>
    <w:basedOn w:val="Normal"/>
    <w:link w:val="CommentTextChar"/>
    <w:rsid w:val="008D282D"/>
    <w:rPr>
      <w:sz w:val="20"/>
      <w:szCs w:val="20"/>
    </w:rPr>
  </w:style>
  <w:style w:type="character" w:customStyle="1" w:styleId="CommentTextChar">
    <w:name w:val="Comment Text Char"/>
    <w:basedOn w:val="DefaultParagraphFont"/>
    <w:link w:val="CommentText"/>
    <w:rsid w:val="008D282D"/>
    <w:rPr>
      <w:sz w:val="20"/>
      <w:szCs w:val="20"/>
    </w:rPr>
  </w:style>
  <w:style w:type="character" w:styleId="Hyperlink">
    <w:name w:val="Hyperlink"/>
    <w:basedOn w:val="DefaultParagraphFont"/>
    <w:rsid w:val="008D282D"/>
    <w:rPr>
      <w:color w:val="0000FF" w:themeColor="hyperlink"/>
      <w:u w:val="single"/>
    </w:rPr>
  </w:style>
  <w:style w:type="paragraph" w:styleId="FootnoteText">
    <w:name w:val="footnote text"/>
    <w:basedOn w:val="Normal"/>
    <w:link w:val="FootnoteTextChar"/>
    <w:rsid w:val="00FB6433"/>
  </w:style>
  <w:style w:type="character" w:customStyle="1" w:styleId="FootnoteTextChar">
    <w:name w:val="Footnote Text Char"/>
    <w:basedOn w:val="DefaultParagraphFont"/>
    <w:link w:val="FootnoteText"/>
    <w:rsid w:val="00FB6433"/>
  </w:style>
  <w:style w:type="character" w:styleId="FootnoteReference">
    <w:name w:val="footnote reference"/>
    <w:basedOn w:val="DefaultParagraphFont"/>
    <w:rsid w:val="00FB6433"/>
    <w:rPr>
      <w:vertAlign w:val="superscript"/>
    </w:rPr>
  </w:style>
  <w:style w:type="character" w:styleId="FollowedHyperlink">
    <w:name w:val="FollowedHyperlink"/>
    <w:basedOn w:val="DefaultParagraphFont"/>
    <w:rsid w:val="00FB6433"/>
    <w:rPr>
      <w:color w:val="800080" w:themeColor="followedHyperlink"/>
      <w:u w:val="single"/>
    </w:rPr>
  </w:style>
  <w:style w:type="paragraph" w:styleId="NormalWeb">
    <w:name w:val="Normal (Web)"/>
    <w:basedOn w:val="Normal"/>
    <w:uiPriority w:val="99"/>
    <w:rsid w:val="0037488A"/>
    <w:pPr>
      <w:spacing w:beforeLines="1" w:afterLines="1"/>
    </w:pPr>
    <w:rPr>
      <w:rFonts w:ascii="Times" w:hAnsi="Times" w:cs="Times New Roman"/>
      <w:sz w:val="20"/>
      <w:szCs w:val="20"/>
    </w:rPr>
  </w:style>
  <w:style w:type="paragraph" w:styleId="CommentSubject">
    <w:name w:val="annotation subject"/>
    <w:basedOn w:val="CommentText"/>
    <w:next w:val="CommentText"/>
    <w:link w:val="CommentSubjectChar"/>
    <w:rsid w:val="00A00A4B"/>
    <w:rPr>
      <w:b/>
      <w:bCs/>
    </w:rPr>
  </w:style>
  <w:style w:type="character" w:customStyle="1" w:styleId="CommentSubjectChar">
    <w:name w:val="Comment Subject Char"/>
    <w:basedOn w:val="CommentTextChar"/>
    <w:link w:val="CommentSubject"/>
    <w:rsid w:val="00A00A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32924"/>
  </w:style>
  <w:style w:type="paragraph" w:styleId="Heading2">
    <w:name w:val="heading 2"/>
    <w:basedOn w:val="Normal"/>
    <w:next w:val="Normal"/>
    <w:link w:val="Heading2Char"/>
    <w:qFormat/>
    <w:rsid w:val="00525AA9"/>
    <w:pPr>
      <w:keepNext/>
      <w:spacing w:before="240" w:after="60"/>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AA9"/>
    <w:rPr>
      <w:rFonts w:ascii="Calibri" w:eastAsia="Times New Roman" w:hAnsi="Calibri" w:cs="Times New Roman"/>
      <w:b/>
      <w:bCs/>
      <w:i/>
      <w:iCs/>
      <w:sz w:val="28"/>
      <w:szCs w:val="28"/>
    </w:rPr>
  </w:style>
  <w:style w:type="paragraph" w:styleId="ListParagraph">
    <w:name w:val="List Paragraph"/>
    <w:basedOn w:val="Normal"/>
    <w:rsid w:val="00E167B9"/>
    <w:pPr>
      <w:ind w:left="720"/>
      <w:contextualSpacing/>
    </w:pPr>
  </w:style>
  <w:style w:type="paragraph" w:customStyle="1" w:styleId="Default">
    <w:name w:val="Default"/>
    <w:rsid w:val="00475D2E"/>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rsid w:val="007926B7"/>
    <w:pPr>
      <w:tabs>
        <w:tab w:val="center" w:pos="4320"/>
        <w:tab w:val="right" w:pos="8640"/>
      </w:tabs>
    </w:pPr>
  </w:style>
  <w:style w:type="character" w:customStyle="1" w:styleId="HeaderChar">
    <w:name w:val="Header Char"/>
    <w:basedOn w:val="DefaultParagraphFont"/>
    <w:link w:val="Header"/>
    <w:uiPriority w:val="99"/>
    <w:rsid w:val="007926B7"/>
  </w:style>
  <w:style w:type="paragraph" w:styleId="Footer">
    <w:name w:val="footer"/>
    <w:basedOn w:val="Normal"/>
    <w:link w:val="FooterChar"/>
    <w:uiPriority w:val="99"/>
    <w:rsid w:val="007926B7"/>
    <w:pPr>
      <w:tabs>
        <w:tab w:val="center" w:pos="4320"/>
        <w:tab w:val="right" w:pos="8640"/>
      </w:tabs>
    </w:pPr>
  </w:style>
  <w:style w:type="character" w:customStyle="1" w:styleId="FooterChar">
    <w:name w:val="Footer Char"/>
    <w:basedOn w:val="DefaultParagraphFont"/>
    <w:link w:val="Footer"/>
    <w:uiPriority w:val="99"/>
    <w:rsid w:val="007926B7"/>
  </w:style>
  <w:style w:type="character" w:customStyle="1" w:styleId="object">
    <w:name w:val="object"/>
    <w:basedOn w:val="DefaultParagraphFont"/>
    <w:rsid w:val="00953ED8"/>
  </w:style>
  <w:style w:type="paragraph" w:styleId="BalloonText">
    <w:name w:val="Balloon Text"/>
    <w:basedOn w:val="Normal"/>
    <w:link w:val="BalloonTextChar"/>
    <w:rsid w:val="00125C1E"/>
    <w:rPr>
      <w:rFonts w:ascii="Lucida Grande" w:hAnsi="Lucida Grande"/>
      <w:sz w:val="18"/>
      <w:szCs w:val="18"/>
    </w:rPr>
  </w:style>
  <w:style w:type="character" w:customStyle="1" w:styleId="BalloonTextChar">
    <w:name w:val="Balloon Text Char"/>
    <w:basedOn w:val="DefaultParagraphFont"/>
    <w:link w:val="BalloonText"/>
    <w:rsid w:val="00125C1E"/>
    <w:rPr>
      <w:rFonts w:ascii="Lucida Grande" w:hAnsi="Lucida Grande"/>
      <w:sz w:val="18"/>
      <w:szCs w:val="18"/>
    </w:rPr>
  </w:style>
  <w:style w:type="table" w:styleId="TableGrid">
    <w:name w:val="Table Grid"/>
    <w:basedOn w:val="TableNormal"/>
    <w:rsid w:val="002C08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D282D"/>
    <w:rPr>
      <w:sz w:val="16"/>
      <w:szCs w:val="16"/>
    </w:rPr>
  </w:style>
  <w:style w:type="paragraph" w:styleId="CommentText">
    <w:name w:val="annotation text"/>
    <w:basedOn w:val="Normal"/>
    <w:link w:val="CommentTextChar"/>
    <w:rsid w:val="008D282D"/>
    <w:rPr>
      <w:sz w:val="20"/>
      <w:szCs w:val="20"/>
    </w:rPr>
  </w:style>
  <w:style w:type="character" w:customStyle="1" w:styleId="CommentTextChar">
    <w:name w:val="Comment Text Char"/>
    <w:basedOn w:val="DefaultParagraphFont"/>
    <w:link w:val="CommentText"/>
    <w:rsid w:val="008D282D"/>
    <w:rPr>
      <w:sz w:val="20"/>
      <w:szCs w:val="20"/>
    </w:rPr>
  </w:style>
  <w:style w:type="character" w:styleId="Hyperlink">
    <w:name w:val="Hyperlink"/>
    <w:basedOn w:val="DefaultParagraphFont"/>
    <w:rsid w:val="008D282D"/>
    <w:rPr>
      <w:color w:val="0000FF" w:themeColor="hyperlink"/>
      <w:u w:val="single"/>
    </w:rPr>
  </w:style>
  <w:style w:type="paragraph" w:styleId="FootnoteText">
    <w:name w:val="footnote text"/>
    <w:basedOn w:val="Normal"/>
    <w:link w:val="FootnoteTextChar"/>
    <w:rsid w:val="00FB6433"/>
  </w:style>
  <w:style w:type="character" w:customStyle="1" w:styleId="FootnoteTextChar">
    <w:name w:val="Footnote Text Char"/>
    <w:basedOn w:val="DefaultParagraphFont"/>
    <w:link w:val="FootnoteText"/>
    <w:rsid w:val="00FB6433"/>
  </w:style>
  <w:style w:type="character" w:styleId="FootnoteReference">
    <w:name w:val="footnote reference"/>
    <w:basedOn w:val="DefaultParagraphFont"/>
    <w:rsid w:val="00FB6433"/>
    <w:rPr>
      <w:vertAlign w:val="superscript"/>
    </w:rPr>
  </w:style>
  <w:style w:type="character" w:styleId="FollowedHyperlink">
    <w:name w:val="FollowedHyperlink"/>
    <w:basedOn w:val="DefaultParagraphFont"/>
    <w:rsid w:val="00FB6433"/>
    <w:rPr>
      <w:color w:val="800080" w:themeColor="followedHyperlink"/>
      <w:u w:val="single"/>
    </w:rPr>
  </w:style>
  <w:style w:type="paragraph" w:styleId="NormalWeb">
    <w:name w:val="Normal (Web)"/>
    <w:basedOn w:val="Normal"/>
    <w:uiPriority w:val="99"/>
    <w:rsid w:val="0037488A"/>
    <w:pPr>
      <w:spacing w:beforeLines="1" w:afterLines="1"/>
    </w:pPr>
    <w:rPr>
      <w:rFonts w:ascii="Times" w:hAnsi="Times" w:cs="Times New Roman"/>
      <w:sz w:val="20"/>
      <w:szCs w:val="20"/>
    </w:rPr>
  </w:style>
  <w:style w:type="paragraph" w:styleId="CommentSubject">
    <w:name w:val="annotation subject"/>
    <w:basedOn w:val="CommentText"/>
    <w:next w:val="CommentText"/>
    <w:link w:val="CommentSubjectChar"/>
    <w:rsid w:val="00A00A4B"/>
    <w:rPr>
      <w:b/>
      <w:bCs/>
    </w:rPr>
  </w:style>
  <w:style w:type="character" w:customStyle="1" w:styleId="CommentSubjectChar">
    <w:name w:val="Comment Subject Char"/>
    <w:basedOn w:val="CommentTextChar"/>
    <w:link w:val="CommentSubject"/>
    <w:rsid w:val="00A00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474">
      <w:bodyDiv w:val="1"/>
      <w:marLeft w:val="0"/>
      <w:marRight w:val="0"/>
      <w:marTop w:val="0"/>
      <w:marBottom w:val="0"/>
      <w:divBdr>
        <w:top w:val="none" w:sz="0" w:space="0" w:color="auto"/>
        <w:left w:val="none" w:sz="0" w:space="0" w:color="auto"/>
        <w:bottom w:val="none" w:sz="0" w:space="0" w:color="auto"/>
        <w:right w:val="none" w:sz="0" w:space="0" w:color="auto"/>
      </w:divBdr>
      <w:divsChild>
        <w:div w:id="1875073510">
          <w:marLeft w:val="0"/>
          <w:marRight w:val="0"/>
          <w:marTop w:val="0"/>
          <w:marBottom w:val="0"/>
          <w:divBdr>
            <w:top w:val="none" w:sz="0" w:space="0" w:color="auto"/>
            <w:left w:val="none" w:sz="0" w:space="0" w:color="auto"/>
            <w:bottom w:val="none" w:sz="0" w:space="0" w:color="auto"/>
            <w:right w:val="none" w:sz="0" w:space="0" w:color="auto"/>
          </w:divBdr>
        </w:div>
      </w:divsChild>
    </w:div>
    <w:div w:id="55322000">
      <w:bodyDiv w:val="1"/>
      <w:marLeft w:val="0"/>
      <w:marRight w:val="0"/>
      <w:marTop w:val="0"/>
      <w:marBottom w:val="0"/>
      <w:divBdr>
        <w:top w:val="none" w:sz="0" w:space="0" w:color="auto"/>
        <w:left w:val="none" w:sz="0" w:space="0" w:color="auto"/>
        <w:bottom w:val="none" w:sz="0" w:space="0" w:color="auto"/>
        <w:right w:val="none" w:sz="0" w:space="0" w:color="auto"/>
      </w:divBdr>
    </w:div>
    <w:div w:id="262959362">
      <w:bodyDiv w:val="1"/>
      <w:marLeft w:val="0"/>
      <w:marRight w:val="0"/>
      <w:marTop w:val="0"/>
      <w:marBottom w:val="0"/>
      <w:divBdr>
        <w:top w:val="none" w:sz="0" w:space="0" w:color="auto"/>
        <w:left w:val="none" w:sz="0" w:space="0" w:color="auto"/>
        <w:bottom w:val="none" w:sz="0" w:space="0" w:color="auto"/>
        <w:right w:val="none" w:sz="0" w:space="0" w:color="auto"/>
      </w:divBdr>
    </w:div>
    <w:div w:id="1063866950">
      <w:bodyDiv w:val="1"/>
      <w:marLeft w:val="0"/>
      <w:marRight w:val="0"/>
      <w:marTop w:val="0"/>
      <w:marBottom w:val="0"/>
      <w:divBdr>
        <w:top w:val="none" w:sz="0" w:space="0" w:color="auto"/>
        <w:left w:val="none" w:sz="0" w:space="0" w:color="auto"/>
        <w:bottom w:val="none" w:sz="0" w:space="0" w:color="auto"/>
        <w:right w:val="none" w:sz="0" w:space="0" w:color="auto"/>
      </w:divBdr>
    </w:div>
    <w:div w:id="1399522843">
      <w:bodyDiv w:val="1"/>
      <w:marLeft w:val="0"/>
      <w:marRight w:val="0"/>
      <w:marTop w:val="0"/>
      <w:marBottom w:val="0"/>
      <w:divBdr>
        <w:top w:val="none" w:sz="0" w:space="0" w:color="auto"/>
        <w:left w:val="none" w:sz="0" w:space="0" w:color="auto"/>
        <w:bottom w:val="none" w:sz="0" w:space="0" w:color="auto"/>
        <w:right w:val="none" w:sz="0" w:space="0" w:color="auto"/>
      </w:divBdr>
    </w:div>
    <w:div w:id="1715887146">
      <w:bodyDiv w:val="1"/>
      <w:marLeft w:val="0"/>
      <w:marRight w:val="0"/>
      <w:marTop w:val="0"/>
      <w:marBottom w:val="0"/>
      <w:divBdr>
        <w:top w:val="none" w:sz="0" w:space="0" w:color="auto"/>
        <w:left w:val="none" w:sz="0" w:space="0" w:color="auto"/>
        <w:bottom w:val="none" w:sz="0" w:space="0" w:color="auto"/>
        <w:right w:val="none" w:sz="0" w:space="0" w:color="auto"/>
      </w:divBdr>
    </w:div>
    <w:div w:id="1738360205">
      <w:bodyDiv w:val="1"/>
      <w:marLeft w:val="0"/>
      <w:marRight w:val="0"/>
      <w:marTop w:val="0"/>
      <w:marBottom w:val="0"/>
      <w:divBdr>
        <w:top w:val="none" w:sz="0" w:space="0" w:color="auto"/>
        <w:left w:val="none" w:sz="0" w:space="0" w:color="auto"/>
        <w:bottom w:val="none" w:sz="0" w:space="0" w:color="auto"/>
        <w:right w:val="none" w:sz="0" w:space="0" w:color="auto"/>
      </w:divBdr>
    </w:div>
    <w:div w:id="1809126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wrcb.ca.gov/centralvalley/water_issues/delta_water_quality/ambient_ammonia_concentrations/ammonia_m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3111</Words>
  <Characters>17736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San Francisco Estuary Institute</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Senn</dc:creator>
  <cp:lastModifiedBy>Meg Sedlak</cp:lastModifiedBy>
  <cp:revision>2</cp:revision>
  <cp:lastPrinted>2012-02-04T00:24:00Z</cp:lastPrinted>
  <dcterms:created xsi:type="dcterms:W3CDTF">2012-02-04T01:41:00Z</dcterms:created>
  <dcterms:modified xsi:type="dcterms:W3CDTF">2012-02-04T01:41:00Z</dcterms:modified>
</cp:coreProperties>
</file>